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EA" w:rsidRPr="005D75EA" w:rsidRDefault="005D75EA" w:rsidP="005D75EA">
      <w:pPr>
        <w:widowControl/>
        <w:spacing w:line="525" w:lineRule="atLeast"/>
        <w:jc w:val="center"/>
        <w:rPr>
          <w:rFonts w:ascii="微软雅黑" w:eastAsia="微软雅黑" w:hAnsi="微软雅黑" w:cs="宋体"/>
          <w:kern w:val="0"/>
          <w:sz w:val="39"/>
          <w:szCs w:val="39"/>
        </w:rPr>
      </w:pPr>
      <w:r w:rsidRPr="005D75EA">
        <w:rPr>
          <w:rFonts w:ascii="微软雅黑" w:eastAsia="微软雅黑" w:hAnsi="微软雅黑" w:cs="宋体" w:hint="eastAsia"/>
          <w:kern w:val="0"/>
          <w:sz w:val="39"/>
          <w:szCs w:val="39"/>
        </w:rPr>
        <w:t>关于对“十四五”国家重点研发计划“氢能技术”等18个重点专项2021年度项目申报指南征求意见的通知</w:t>
      </w:r>
    </w:p>
    <w:p w:rsidR="005D75EA" w:rsidRPr="005D75EA" w:rsidRDefault="005D75EA" w:rsidP="005D75EA">
      <w:pPr>
        <w:widowControl/>
        <w:spacing w:line="450" w:lineRule="atLeast"/>
        <w:jc w:val="left"/>
        <w:rPr>
          <w:rFonts w:ascii="宋体" w:eastAsia="宋体" w:hAnsi="宋体" w:cs="宋体"/>
          <w:color w:val="444444"/>
          <w:kern w:val="0"/>
          <w:sz w:val="26"/>
          <w:szCs w:val="26"/>
        </w:rPr>
      </w:pPr>
      <w:r w:rsidRPr="005D75EA">
        <w:rPr>
          <w:rFonts w:ascii="宋体" w:eastAsia="宋体" w:hAnsi="宋体" w:cs="宋体" w:hint="eastAsia"/>
          <w:color w:val="444444"/>
          <w:kern w:val="0"/>
          <w:sz w:val="26"/>
          <w:szCs w:val="26"/>
        </w:rPr>
        <w:t>   去年以来，科技部会同相关部门以习近平总书记“面向世界科技前沿、面向经济主战场、面向国家重大需求、面向人民生命健康”为基本遵循，认真贯彻十九届五中全会精神，积极开展“十四五”国家重点研发计划任务布局研究工作。在工作过程中，坚持顶层设计与集思广益相结合，2020年初面向67个部门地方和2400多家科研单位，广泛征集了1.6万份重大研发需求，为</w:t>
      </w:r>
      <w:proofErr w:type="gramStart"/>
      <w:r w:rsidRPr="005D75EA">
        <w:rPr>
          <w:rFonts w:ascii="宋体" w:eastAsia="宋体" w:hAnsi="宋体" w:cs="宋体" w:hint="eastAsia"/>
          <w:color w:val="444444"/>
          <w:kern w:val="0"/>
          <w:sz w:val="26"/>
          <w:szCs w:val="26"/>
        </w:rPr>
        <w:t>凝练形成</w:t>
      </w:r>
      <w:proofErr w:type="gramEnd"/>
      <w:r w:rsidRPr="005D75EA">
        <w:rPr>
          <w:rFonts w:ascii="宋体" w:eastAsia="宋体" w:hAnsi="宋体" w:cs="宋体" w:hint="eastAsia"/>
          <w:color w:val="444444"/>
          <w:kern w:val="0"/>
          <w:sz w:val="26"/>
          <w:szCs w:val="26"/>
        </w:rPr>
        <w:t>“十四五”重点专项动议提供了重要参考；通过战略</w:t>
      </w:r>
      <w:proofErr w:type="gramStart"/>
      <w:r w:rsidRPr="005D75EA">
        <w:rPr>
          <w:rFonts w:ascii="宋体" w:eastAsia="宋体" w:hAnsi="宋体" w:cs="宋体" w:hint="eastAsia"/>
          <w:color w:val="444444"/>
          <w:kern w:val="0"/>
          <w:sz w:val="26"/>
          <w:szCs w:val="26"/>
        </w:rPr>
        <w:t>咨</w:t>
      </w:r>
      <w:proofErr w:type="gramEnd"/>
      <w:r w:rsidRPr="005D75EA">
        <w:rPr>
          <w:rFonts w:ascii="宋体" w:eastAsia="宋体" w:hAnsi="宋体" w:cs="宋体" w:hint="eastAsia"/>
          <w:color w:val="444444"/>
          <w:kern w:val="0"/>
          <w:sz w:val="26"/>
          <w:szCs w:val="26"/>
        </w:rPr>
        <w:t>评委咨询、高层次专家论证、与主要部门会商沟通等方式，充分听取科学界、产业界和行业部门意见，反复深入研究，形成了国家重点研发计划“十四五”总体布局，已经国家科技计划管理部际联席会议全体会议审议通过。</w:t>
      </w:r>
    </w:p>
    <w:p w:rsidR="005D75EA" w:rsidRPr="005D75EA" w:rsidRDefault="005D75EA" w:rsidP="005D75EA">
      <w:pPr>
        <w:widowControl/>
        <w:spacing w:line="450" w:lineRule="atLeast"/>
        <w:jc w:val="left"/>
        <w:rPr>
          <w:rFonts w:ascii="宋体" w:eastAsia="宋体" w:hAnsi="宋体" w:cs="宋体" w:hint="eastAsia"/>
          <w:color w:val="444444"/>
          <w:kern w:val="0"/>
          <w:sz w:val="26"/>
          <w:szCs w:val="26"/>
        </w:rPr>
      </w:pPr>
      <w:r w:rsidRPr="005D75EA">
        <w:rPr>
          <w:rFonts w:ascii="宋体" w:eastAsia="宋体" w:hAnsi="宋体" w:cs="宋体" w:hint="eastAsia"/>
          <w:color w:val="444444"/>
          <w:kern w:val="0"/>
          <w:sz w:val="26"/>
          <w:szCs w:val="26"/>
        </w:rPr>
        <w:t>   “十四五”重点研发计划的组织实施，将贯彻落实十九届五中全会关于打好关键核心技术攻坚战的部署要求，持续深化科研管理改革，进一步推进政府职能转变和科研领域“放管服”改革，大力实施重点项目“揭榜挂帅”，将需求导向、问题导向、应用导向贯穿于项目形成和组织实施全链条、全过程，并区分轻重缓急分批启动实施各重点专项，实行分类管理，充分发挥战略科技力量、领军企业、帅才型科学家的作用，着力提升创新链整体效能。</w:t>
      </w:r>
    </w:p>
    <w:p w:rsidR="005D75EA" w:rsidRPr="005D75EA" w:rsidRDefault="005D75EA" w:rsidP="005D75EA">
      <w:pPr>
        <w:widowControl/>
        <w:spacing w:line="450" w:lineRule="atLeast"/>
        <w:jc w:val="left"/>
        <w:rPr>
          <w:rFonts w:ascii="宋体" w:eastAsia="宋体" w:hAnsi="宋体" w:cs="宋体" w:hint="eastAsia"/>
          <w:color w:val="444444"/>
          <w:kern w:val="0"/>
          <w:sz w:val="26"/>
          <w:szCs w:val="26"/>
        </w:rPr>
      </w:pPr>
      <w:r w:rsidRPr="005D75EA">
        <w:rPr>
          <w:rFonts w:ascii="宋体" w:eastAsia="宋体" w:hAnsi="宋体" w:cs="宋体" w:hint="eastAsia"/>
          <w:color w:val="444444"/>
          <w:kern w:val="0"/>
          <w:sz w:val="26"/>
          <w:szCs w:val="26"/>
        </w:rPr>
        <w:lastRenderedPageBreak/>
        <w:t>   根据《国务院关于改进加强中央财政科研项目和资金管理的若干意见》（国发〔2014〕11号）、《国务院关于深化中央财政科技计划（专项、基金等）管理改革方案的通知》（国发〔2014〕64号）、《科技部 财政部关于印发&lt;国家重点研发计划管理暂行办法&gt;的通知》（国</w:t>
      </w:r>
      <w:proofErr w:type="gramStart"/>
      <w:r w:rsidRPr="005D75EA">
        <w:rPr>
          <w:rFonts w:ascii="宋体" w:eastAsia="宋体" w:hAnsi="宋体" w:cs="宋体" w:hint="eastAsia"/>
          <w:color w:val="444444"/>
          <w:kern w:val="0"/>
          <w:sz w:val="26"/>
          <w:szCs w:val="26"/>
        </w:rPr>
        <w:t>科发资〔2017〕</w:t>
      </w:r>
      <w:proofErr w:type="gramEnd"/>
      <w:r w:rsidRPr="005D75EA">
        <w:rPr>
          <w:rFonts w:ascii="宋体" w:eastAsia="宋体" w:hAnsi="宋体" w:cs="宋体" w:hint="eastAsia"/>
          <w:color w:val="444444"/>
          <w:kern w:val="0"/>
          <w:sz w:val="26"/>
          <w:szCs w:val="26"/>
        </w:rPr>
        <w:t>152号）等文件要求，现将“十四五”国家重点研发计划“氢能技术”重点专项2021年度项目申报指南（见附件）向社会征求意见和建议。征求意见时间为2021年2月1日至2021年2月21日，修改意见请于2月21日24点之前发至电子邮箱。</w:t>
      </w:r>
    </w:p>
    <w:p w:rsidR="005D75EA" w:rsidRPr="005D75EA" w:rsidRDefault="005D75EA" w:rsidP="005D75EA">
      <w:pPr>
        <w:widowControl/>
        <w:spacing w:line="450" w:lineRule="atLeast"/>
        <w:jc w:val="left"/>
        <w:rPr>
          <w:rFonts w:ascii="宋体" w:eastAsia="宋体" w:hAnsi="宋体" w:cs="宋体" w:hint="eastAsia"/>
          <w:color w:val="444444"/>
          <w:kern w:val="0"/>
          <w:sz w:val="26"/>
          <w:szCs w:val="26"/>
        </w:rPr>
      </w:pPr>
      <w:r w:rsidRPr="005D75EA">
        <w:rPr>
          <w:rFonts w:ascii="宋体" w:eastAsia="宋体" w:hAnsi="宋体" w:cs="宋体" w:hint="eastAsia"/>
          <w:color w:val="444444"/>
          <w:kern w:val="0"/>
          <w:sz w:val="26"/>
          <w:szCs w:val="26"/>
        </w:rPr>
        <w:t>   本次征求意见指南为“十四五”首批启动重点专项2021年第一批部署的任务，其他研究任务将于后续陆续部署启动。本次征求意见重点针对指南方向提出的目标指标和相关内容的合理性、科学性、先进性等方面听取各方意见和建议。科技部将会同有关部门、专业机构和专家，认真研究收到的意见和建议，修改完善相关重点专项的项目申报指南。征集到的意见和建议，将不再反馈和回复。</w:t>
      </w:r>
    </w:p>
    <w:p w:rsidR="005D75EA" w:rsidRPr="005D75EA" w:rsidRDefault="005D75EA" w:rsidP="005D75EA">
      <w:pPr>
        <w:widowControl/>
        <w:spacing w:line="450" w:lineRule="atLeast"/>
        <w:jc w:val="left"/>
        <w:rPr>
          <w:rFonts w:ascii="宋体" w:eastAsia="宋体" w:hAnsi="宋体" w:cs="宋体" w:hint="eastAsia"/>
          <w:color w:val="444444"/>
          <w:kern w:val="0"/>
          <w:sz w:val="26"/>
          <w:szCs w:val="26"/>
        </w:rPr>
      </w:pPr>
      <w:r w:rsidRPr="005D75EA">
        <w:rPr>
          <w:rFonts w:ascii="宋体" w:eastAsia="宋体" w:hAnsi="宋体" w:cs="宋体" w:hint="eastAsia"/>
          <w:color w:val="444444"/>
          <w:kern w:val="0"/>
          <w:sz w:val="26"/>
          <w:szCs w:val="26"/>
        </w:rPr>
        <w:t>   相关重点专项2021年项目实施中，拟积极探索“揭榜挂帅”、部省联动等新型组织实施模式，研究设立青年科学家项目，欢迎大家关注和支持。</w:t>
      </w:r>
    </w:p>
    <w:p w:rsidR="005D75EA" w:rsidRDefault="005D75EA" w:rsidP="005D75EA">
      <w:pPr>
        <w:widowControl/>
        <w:spacing w:line="450" w:lineRule="atLeast"/>
        <w:jc w:val="left"/>
        <w:rPr>
          <w:rFonts w:ascii="宋体" w:eastAsia="宋体" w:hAnsi="宋体" w:cs="宋体" w:hint="eastAsia"/>
          <w:color w:val="444444"/>
          <w:kern w:val="0"/>
          <w:sz w:val="26"/>
          <w:szCs w:val="26"/>
        </w:rPr>
      </w:pPr>
      <w:r w:rsidRPr="005D75EA">
        <w:rPr>
          <w:rFonts w:ascii="宋体" w:eastAsia="宋体" w:hAnsi="宋体" w:cs="宋体" w:hint="eastAsia"/>
          <w:color w:val="444444"/>
          <w:kern w:val="0"/>
          <w:sz w:val="26"/>
          <w:szCs w:val="26"/>
        </w:rPr>
        <w:t>   </w:t>
      </w:r>
    </w:p>
    <w:p w:rsidR="005D75EA" w:rsidRDefault="005D75EA" w:rsidP="005D75EA">
      <w:pPr>
        <w:widowControl/>
        <w:spacing w:line="450" w:lineRule="atLeast"/>
        <w:jc w:val="left"/>
        <w:rPr>
          <w:rFonts w:ascii="宋体" w:eastAsia="宋体" w:hAnsi="宋体" w:cs="宋体" w:hint="eastAsia"/>
          <w:color w:val="444444"/>
          <w:kern w:val="0"/>
          <w:sz w:val="26"/>
          <w:szCs w:val="26"/>
        </w:rPr>
      </w:pPr>
    </w:p>
    <w:p w:rsidR="005D75EA" w:rsidRDefault="005D75EA" w:rsidP="005D75EA">
      <w:pPr>
        <w:widowControl/>
        <w:spacing w:line="450" w:lineRule="atLeast"/>
        <w:jc w:val="left"/>
        <w:rPr>
          <w:rFonts w:ascii="宋体" w:eastAsia="宋体" w:hAnsi="宋体" w:cs="宋体" w:hint="eastAsia"/>
          <w:color w:val="444444"/>
          <w:kern w:val="0"/>
          <w:sz w:val="26"/>
          <w:szCs w:val="26"/>
        </w:rPr>
      </w:pPr>
    </w:p>
    <w:p w:rsidR="005D75EA" w:rsidRDefault="005D75EA" w:rsidP="005D75EA">
      <w:pPr>
        <w:widowControl/>
        <w:spacing w:line="450" w:lineRule="atLeast"/>
        <w:jc w:val="left"/>
        <w:rPr>
          <w:rFonts w:ascii="宋体" w:eastAsia="宋体" w:hAnsi="宋体" w:cs="宋体" w:hint="eastAsia"/>
          <w:color w:val="444444"/>
          <w:kern w:val="0"/>
          <w:sz w:val="26"/>
          <w:szCs w:val="26"/>
        </w:rPr>
      </w:pPr>
    </w:p>
    <w:p w:rsidR="005D75EA" w:rsidRDefault="005D75EA" w:rsidP="005D75EA">
      <w:pPr>
        <w:widowControl/>
        <w:spacing w:line="450" w:lineRule="atLeast"/>
        <w:jc w:val="left"/>
        <w:rPr>
          <w:rFonts w:ascii="宋体" w:eastAsia="宋体" w:hAnsi="宋体" w:cs="宋体" w:hint="eastAsia"/>
          <w:color w:val="444444"/>
          <w:kern w:val="0"/>
          <w:sz w:val="26"/>
          <w:szCs w:val="26"/>
        </w:rPr>
      </w:pPr>
    </w:p>
    <w:p w:rsidR="005D75EA" w:rsidRPr="005D75EA" w:rsidRDefault="005D75EA" w:rsidP="005D75EA">
      <w:pPr>
        <w:widowControl/>
        <w:spacing w:line="450" w:lineRule="atLeast"/>
        <w:jc w:val="left"/>
        <w:rPr>
          <w:rFonts w:ascii="宋体" w:eastAsia="宋体" w:hAnsi="宋体" w:cs="宋体" w:hint="eastAsia"/>
          <w:color w:val="444444"/>
          <w:kern w:val="0"/>
          <w:sz w:val="26"/>
          <w:szCs w:val="26"/>
        </w:rPr>
      </w:pPr>
      <w:r w:rsidRPr="005D75EA">
        <w:rPr>
          <w:rFonts w:ascii="宋体" w:eastAsia="宋体" w:hAnsi="宋体" w:cs="宋体" w:hint="eastAsia"/>
          <w:color w:val="444444"/>
          <w:kern w:val="0"/>
          <w:sz w:val="26"/>
          <w:szCs w:val="26"/>
        </w:rPr>
        <w:lastRenderedPageBreak/>
        <w:t>联系方式：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25"/>
        <w:gridCol w:w="3000"/>
      </w:tblGrid>
      <w:tr w:rsidR="005D75EA" w:rsidRPr="005D75EA" w:rsidTr="005D75EA">
        <w:trPr>
          <w:trHeight w:val="570"/>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重点专项名称</w:t>
            </w:r>
          </w:p>
        </w:tc>
        <w:tc>
          <w:tcPr>
            <w:tcW w:w="3000"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邮箱地址</w:t>
            </w: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氢能技术</w:t>
            </w:r>
          </w:p>
        </w:tc>
        <w:tc>
          <w:tcPr>
            <w:tcW w:w="3000" w:type="dxa"/>
            <w:vMerge w:val="restart"/>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gxs_njc@most.cn</w:t>
            </w: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储能与智能电网技术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新能源汽车</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交通基础设施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64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高性能计算</w:t>
            </w:r>
          </w:p>
        </w:tc>
        <w:tc>
          <w:tcPr>
            <w:tcW w:w="3000" w:type="dxa"/>
            <w:vMerge w:val="restart"/>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gxs_xxc@most.cn</w:t>
            </w: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信息光子技术</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多模态网络与通信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区块链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网络空间安全治理</w:t>
            </w:r>
          </w:p>
        </w:tc>
        <w:tc>
          <w:tcPr>
            <w:tcW w:w="3000" w:type="dxa"/>
            <w:vMerge w:val="restart"/>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gxs_zdhc@most.cn</w:t>
            </w: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智能传感器</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工业软件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高性能制造技术与重大装备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先进结构与复合材料</w:t>
            </w:r>
          </w:p>
        </w:tc>
        <w:tc>
          <w:tcPr>
            <w:tcW w:w="3000" w:type="dxa"/>
            <w:vMerge w:val="restart"/>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gxs_clc@most.cn</w:t>
            </w: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高端功能与智能材料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新型显示与战略性电子材料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稀土新材料</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地球观测与导航</w:t>
            </w:r>
          </w:p>
        </w:tc>
        <w:tc>
          <w:tcPr>
            <w:tcW w:w="3000" w:type="dxa"/>
            <w:vMerge w:val="restart"/>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gxs_fwyc@most.cn</w:t>
            </w:r>
          </w:p>
        </w:tc>
      </w:tr>
      <w:tr w:rsidR="005D75EA" w:rsidRPr="005D75EA" w:rsidTr="005D75EA">
        <w:trPr>
          <w:trHeight w:val="285"/>
          <w:tblCellSpacing w:w="0" w:type="dxa"/>
          <w:jc w:val="center"/>
        </w:trPr>
        <w:tc>
          <w:tcPr>
            <w:tcW w:w="5025" w:type="dxa"/>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spacing w:line="450" w:lineRule="atLeast"/>
              <w:jc w:val="center"/>
              <w:rPr>
                <w:rFonts w:ascii="宋体" w:eastAsia="宋体" w:hAnsi="宋体" w:cs="宋体"/>
                <w:kern w:val="0"/>
                <w:sz w:val="26"/>
                <w:szCs w:val="26"/>
              </w:rPr>
            </w:pPr>
            <w:r w:rsidRPr="005D75EA">
              <w:rPr>
                <w:rFonts w:ascii="宋体" w:eastAsia="宋体" w:hAnsi="宋体" w:cs="宋体" w:hint="eastAsia"/>
                <w:kern w:val="0"/>
                <w:sz w:val="26"/>
                <w:szCs w:val="26"/>
              </w:rPr>
              <w:t>文化科技与现代服务业</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75EA" w:rsidRPr="005D75EA" w:rsidRDefault="005D75EA" w:rsidP="005D75EA">
            <w:pPr>
              <w:widowControl/>
              <w:jc w:val="left"/>
              <w:rPr>
                <w:rFonts w:ascii="宋体" w:eastAsia="宋体" w:hAnsi="宋体" w:cs="宋体"/>
                <w:kern w:val="0"/>
                <w:sz w:val="26"/>
                <w:szCs w:val="26"/>
              </w:rPr>
            </w:pPr>
          </w:p>
        </w:tc>
      </w:tr>
    </w:tbl>
    <w:p w:rsidR="00837E14" w:rsidRDefault="00837E14" w:rsidP="005D75EA"/>
    <w:sectPr w:rsidR="00837E14" w:rsidSect="00837E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0AC" w:rsidRDefault="008D30AC" w:rsidP="005D75EA">
      <w:r>
        <w:separator/>
      </w:r>
    </w:p>
  </w:endnote>
  <w:endnote w:type="continuationSeparator" w:id="0">
    <w:p w:rsidR="008D30AC" w:rsidRDefault="008D30AC" w:rsidP="005D75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0AC" w:rsidRDefault="008D30AC" w:rsidP="005D75EA">
      <w:r>
        <w:separator/>
      </w:r>
    </w:p>
  </w:footnote>
  <w:footnote w:type="continuationSeparator" w:id="0">
    <w:p w:rsidR="008D30AC" w:rsidRDefault="008D30AC" w:rsidP="005D75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5EA"/>
    <w:rsid w:val="005D75EA"/>
    <w:rsid w:val="00837E14"/>
    <w:rsid w:val="008D3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7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75EA"/>
    <w:rPr>
      <w:sz w:val="18"/>
      <w:szCs w:val="18"/>
    </w:rPr>
  </w:style>
  <w:style w:type="paragraph" w:styleId="a4">
    <w:name w:val="footer"/>
    <w:basedOn w:val="a"/>
    <w:link w:val="Char0"/>
    <w:uiPriority w:val="99"/>
    <w:semiHidden/>
    <w:unhideWhenUsed/>
    <w:rsid w:val="005D75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75EA"/>
    <w:rPr>
      <w:sz w:val="18"/>
      <w:szCs w:val="18"/>
    </w:rPr>
  </w:style>
</w:styles>
</file>

<file path=word/webSettings.xml><?xml version="1.0" encoding="utf-8"?>
<w:webSettings xmlns:r="http://schemas.openxmlformats.org/officeDocument/2006/relationships" xmlns:w="http://schemas.openxmlformats.org/wordprocessingml/2006/main">
  <w:divs>
    <w:div w:id="172378932">
      <w:bodyDiv w:val="1"/>
      <w:marLeft w:val="0"/>
      <w:marRight w:val="0"/>
      <w:marTop w:val="0"/>
      <w:marBottom w:val="0"/>
      <w:divBdr>
        <w:top w:val="none" w:sz="0" w:space="0" w:color="auto"/>
        <w:left w:val="none" w:sz="0" w:space="0" w:color="auto"/>
        <w:bottom w:val="none" w:sz="0" w:space="0" w:color="auto"/>
        <w:right w:val="none" w:sz="0" w:space="0" w:color="auto"/>
      </w:divBdr>
      <w:divsChild>
        <w:div w:id="1782723404">
          <w:marLeft w:val="0"/>
          <w:marRight w:val="0"/>
          <w:marTop w:val="0"/>
          <w:marBottom w:val="300"/>
          <w:divBdr>
            <w:top w:val="none" w:sz="0" w:space="0" w:color="auto"/>
            <w:left w:val="none" w:sz="0" w:space="0" w:color="auto"/>
            <w:bottom w:val="dashed" w:sz="6" w:space="0" w:color="999999"/>
            <w:right w:val="none" w:sz="0" w:space="0" w:color="auto"/>
          </w:divBdr>
        </w:div>
        <w:div w:id="45371761">
          <w:marLeft w:val="0"/>
          <w:marRight w:val="0"/>
          <w:marTop w:val="0"/>
          <w:marBottom w:val="0"/>
          <w:divBdr>
            <w:top w:val="none" w:sz="0" w:space="0" w:color="auto"/>
            <w:left w:val="none" w:sz="0" w:space="0" w:color="auto"/>
            <w:bottom w:val="none" w:sz="0" w:space="0" w:color="auto"/>
            <w:right w:val="none" w:sz="0" w:space="0" w:color="auto"/>
          </w:divBdr>
          <w:divsChild>
            <w:div w:id="2069955307">
              <w:marLeft w:val="0"/>
              <w:marRight w:val="0"/>
              <w:marTop w:val="0"/>
              <w:marBottom w:val="0"/>
              <w:divBdr>
                <w:top w:val="none" w:sz="0" w:space="0" w:color="auto"/>
                <w:left w:val="none" w:sz="0" w:space="0" w:color="auto"/>
                <w:bottom w:val="none" w:sz="0" w:space="0" w:color="auto"/>
                <w:right w:val="none" w:sz="0" w:space="0" w:color="auto"/>
              </w:divBdr>
            </w:div>
            <w:div w:id="153494298">
              <w:marLeft w:val="0"/>
              <w:marRight w:val="0"/>
              <w:marTop w:val="0"/>
              <w:marBottom w:val="0"/>
              <w:divBdr>
                <w:top w:val="none" w:sz="0" w:space="0" w:color="auto"/>
                <w:left w:val="none" w:sz="0" w:space="0" w:color="auto"/>
                <w:bottom w:val="none" w:sz="0" w:space="0" w:color="auto"/>
                <w:right w:val="none" w:sz="0" w:space="0" w:color="auto"/>
              </w:divBdr>
            </w:div>
            <w:div w:id="590629834">
              <w:marLeft w:val="0"/>
              <w:marRight w:val="0"/>
              <w:marTop w:val="0"/>
              <w:marBottom w:val="0"/>
              <w:divBdr>
                <w:top w:val="none" w:sz="0" w:space="0" w:color="auto"/>
                <w:left w:val="none" w:sz="0" w:space="0" w:color="auto"/>
                <w:bottom w:val="none" w:sz="0" w:space="0" w:color="auto"/>
                <w:right w:val="none" w:sz="0" w:space="0" w:color="auto"/>
              </w:divBdr>
            </w:div>
            <w:div w:id="731004243">
              <w:marLeft w:val="0"/>
              <w:marRight w:val="0"/>
              <w:marTop w:val="0"/>
              <w:marBottom w:val="0"/>
              <w:divBdr>
                <w:top w:val="none" w:sz="0" w:space="0" w:color="auto"/>
                <w:left w:val="none" w:sz="0" w:space="0" w:color="auto"/>
                <w:bottom w:val="none" w:sz="0" w:space="0" w:color="auto"/>
                <w:right w:val="none" w:sz="0" w:space="0" w:color="auto"/>
              </w:divBdr>
            </w:div>
            <w:div w:id="855146309">
              <w:marLeft w:val="0"/>
              <w:marRight w:val="0"/>
              <w:marTop w:val="0"/>
              <w:marBottom w:val="0"/>
              <w:divBdr>
                <w:top w:val="none" w:sz="0" w:space="0" w:color="auto"/>
                <w:left w:val="none" w:sz="0" w:space="0" w:color="auto"/>
                <w:bottom w:val="none" w:sz="0" w:space="0" w:color="auto"/>
                <w:right w:val="none" w:sz="0" w:space="0" w:color="auto"/>
              </w:divBdr>
            </w:div>
            <w:div w:id="870335619">
              <w:marLeft w:val="0"/>
              <w:marRight w:val="0"/>
              <w:marTop w:val="0"/>
              <w:marBottom w:val="0"/>
              <w:divBdr>
                <w:top w:val="none" w:sz="0" w:space="0" w:color="auto"/>
                <w:left w:val="none" w:sz="0" w:space="0" w:color="auto"/>
                <w:bottom w:val="none" w:sz="0" w:space="0" w:color="auto"/>
                <w:right w:val="none" w:sz="0" w:space="0" w:color="auto"/>
              </w:divBdr>
            </w:div>
            <w:div w:id="16370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zhangxy</dc:creator>
  <cp:keywords/>
  <dc:description/>
  <cp:lastModifiedBy>zhangxy</cp:lastModifiedBy>
  <cp:revision>2</cp:revision>
  <dcterms:created xsi:type="dcterms:W3CDTF">2021-02-02T01:16:00Z</dcterms:created>
  <dcterms:modified xsi:type="dcterms:W3CDTF">2021-02-02T01:18:00Z</dcterms:modified>
</cp:coreProperties>
</file>