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附件1</w:t>
      </w:r>
    </w:p>
    <w:p>
      <w:pPr>
        <w:widowControl w:val="0"/>
        <w:numPr>
          <w:ilvl w:val="0"/>
          <w:numId w:val="0"/>
        </w:numPr>
        <w:shd w:val="clear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国家级高层次人才年度奖励项目奖励标准对照表(一)</w:t>
      </w:r>
    </w:p>
    <w:tbl>
      <w:tblPr>
        <w:tblStyle w:val="5"/>
        <w:tblpPr w:leftFromText="180" w:rightFromText="180" w:vertAnchor="text" w:horzAnchor="page" w:tblpX="1574" w:tblpY="124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0-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91" w:tblpY="38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850001-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Theme="majorEastAsia" w:hAnsiTheme="majorEastAsia" w:eastAsiaTheme="majorEastAsia" w:cstheme="majorEastAsia"/>
          <w:b/>
          <w:bCs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611" w:tblpY="2016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115001-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12900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13500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14700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611" w:tblpY="2016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155001-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165001-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175001-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18900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19500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center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国家级高层次人才年度奖励项目奖励标准对照表(二)</w:t>
      </w: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205001-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215001-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225001-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235001-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24900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255001-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265001-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275001-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285001-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295001-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305001-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315001-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325001-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335001-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345001-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355001-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365001-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375001-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385001-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395001-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center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国家级高层次人才年度奖励项目奖励标准对照表(三)</w:t>
      </w: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405001-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415001-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425001-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435001-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445001-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455001-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465001-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475001-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485001-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495001-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505001-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515001-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525001-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535001-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545001-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555001-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565001-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575001-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585001-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595001-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center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国家级高层次人才年度奖励项目奖励标准对照表(四)</w:t>
      </w: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605001-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615001-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625001-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635001-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645001-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655001-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665001-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675001-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685001-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695001-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705001-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715001-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725001-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735001-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745001-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84300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84900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85500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86100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86700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87300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87900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88500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89100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89700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755001-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765001-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775001-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785001-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795000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795001-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90300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90900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91500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92100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92700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93300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93900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94500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95100</w:t>
            </w: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95700</w:t>
            </w: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clear"/>
        <w:jc w:val="center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shd w:val="clear" w:color="auto" w:fill="FFFFFF"/>
          <w:lang w:val="en-US" w:eastAsia="zh-CN"/>
        </w:rPr>
        <w:t>国家级高层次人才年度奖励项目奖励标准对照表(五)</w:t>
      </w:r>
    </w:p>
    <w:tbl>
      <w:tblPr>
        <w:tblStyle w:val="5"/>
        <w:tblpPr w:leftFromText="180" w:rightFromText="180" w:vertAnchor="text" w:horzAnchor="page" w:tblpX="1546" w:tblpY="49"/>
        <w:tblOverlap w:val="never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56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年度缴纳个税总额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tabs>
                <w:tab w:val="left" w:pos="504"/>
              </w:tabs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805001-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815001-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825001-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830001-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835000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835001-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7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市级奖励</w:t>
            </w:r>
          </w:p>
          <w:p>
            <w:pPr>
              <w:widowControl w:val="0"/>
              <w:numPr>
                <w:ilvl w:val="0"/>
                <w:numId w:val="0"/>
              </w:numPr>
              <w:shd w:val="clear"/>
              <w:jc w:val="center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金额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96300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96900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97500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98100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98700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99300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99900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  <w:t>100000</w:t>
            </w:r>
          </w:p>
        </w:tc>
        <w:tc>
          <w:tcPr>
            <w:tcW w:w="125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hd w:val="clear"/>
              <w:jc w:val="left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shd w:val="clear"/>
        <w:jc w:val="both"/>
        <w:rPr>
          <w:rFonts w:hint="eastAsia" w:ascii="仿宋" w:hAnsi="仿宋" w:eastAsia="仿宋" w:cs="仿宋"/>
          <w:b w:val="0"/>
          <w:bCs w:val="0"/>
          <w:sz w:val="20"/>
          <w:szCs w:val="20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使用说明：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1.申报人年度缴纳个人所得税总额，是指从申报人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年度薪金扣缴的个人所得税总额，不包含从</w:t>
      </w:r>
      <w:r>
        <w:rPr>
          <w:rFonts w:hint="eastAsia" w:ascii="仿宋" w:hAnsi="仿宋" w:eastAsia="仿宋" w:cs="仿宋"/>
          <w:color w:val="auto"/>
          <w:sz w:val="28"/>
          <w:szCs w:val="28"/>
          <w:shd w:val="clear" w:color="auto" w:fill="FFFFFF"/>
          <w:lang w:val="en-US" w:eastAsia="zh-CN"/>
        </w:rPr>
        <w:t>股权分红、政府性奖励补贴等非工资性收入和投资性收入所得中扣缴的部分。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各区（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开发区）经办部门负责核算申报人缴纳个人所得税总额，并填写《国家级高层次人才年度奖励项目申报审批表》。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3.各区（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开发区）经办部门，根据申报人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年度薪金收入缴纳个人所得税总额，与《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国家级高层次人才年度奖励项目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lang w:val="en-US" w:eastAsia="zh-CN"/>
        </w:rPr>
        <w:t>奖励标准对照表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》进行比对，计算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shd w:val="clear" w:color="auto" w:fill="FFFFFF"/>
          <w:vertAlign w:val="baseline"/>
          <w:lang w:val="en-US" w:eastAsia="zh-CN"/>
        </w:rPr>
        <w:t>市、区（开发区）应奖励金额数值，而后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填写《国家级高层次人才年度奖励项目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申报人员汇总表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》和《国家级高层次人才年度奖励项目</w:t>
      </w:r>
      <w:r>
        <w:rPr>
          <w:rFonts w:hint="eastAsia" w:ascii="仿宋" w:hAnsi="仿宋" w:eastAsia="仿宋" w:cs="仿宋"/>
          <w:kern w:val="0"/>
          <w:sz w:val="28"/>
          <w:szCs w:val="28"/>
        </w:rPr>
        <w:t>申报审批表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》中的奖励金额。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4.表中奖励资金为长春市本级奖励部分，占总奖励资金的50%，各城区（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开发区）应承担的50%奖励资金部分，对照此表标准执行。</w:t>
      </w:r>
      <w:bookmarkStart w:id="0" w:name="_GoBack"/>
      <w:bookmarkEnd w:id="0"/>
    </w:p>
    <w:sectPr>
      <w:footerReference r:id="rId3" w:type="default"/>
      <w:pgSz w:w="16838" w:h="11906" w:orient="landscape"/>
      <w:pgMar w:top="1701" w:right="1417" w:bottom="158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3944620</wp:posOffset>
              </wp:positionH>
              <wp:positionV relativeFrom="paragraph">
                <wp:posOffset>0</wp:posOffset>
              </wp:positionV>
              <wp:extent cx="808355" cy="2813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8355" cy="281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10.6pt;margin-top:0pt;height:22.15pt;width:63.65pt;mso-position-horizontal-relative:margin;z-index:251658240;mso-width-relative:page;mso-height-relative:page;" filled="f" stroked="f" coordsize="21600,21600" o:gfxdata="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9u4W7dcAAAAHAQAA&#10;DwAAAAAAAAABACAAAAAiAAAAZHJzL2Rvd25yZXYueG1sUEsBAhQAFAAAAAgAh07iQIXYXtAaAgAA&#10;EwQAAA4AAAAAAAAAAQAgAAAAJg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578E0"/>
    <w:rsid w:val="04583900"/>
    <w:rsid w:val="050928A0"/>
    <w:rsid w:val="064B3BA2"/>
    <w:rsid w:val="0985226E"/>
    <w:rsid w:val="0A443214"/>
    <w:rsid w:val="0C8B7AF6"/>
    <w:rsid w:val="0EF217ED"/>
    <w:rsid w:val="0EF73873"/>
    <w:rsid w:val="144B7229"/>
    <w:rsid w:val="14EE573E"/>
    <w:rsid w:val="15B92722"/>
    <w:rsid w:val="15F97B5A"/>
    <w:rsid w:val="1932588E"/>
    <w:rsid w:val="19711550"/>
    <w:rsid w:val="1A880C75"/>
    <w:rsid w:val="1B1624DD"/>
    <w:rsid w:val="1DDE2499"/>
    <w:rsid w:val="1F0E4792"/>
    <w:rsid w:val="28241F88"/>
    <w:rsid w:val="28AD378D"/>
    <w:rsid w:val="29305D64"/>
    <w:rsid w:val="2A097C04"/>
    <w:rsid w:val="2CF73A5B"/>
    <w:rsid w:val="2F8A2BA2"/>
    <w:rsid w:val="3960060F"/>
    <w:rsid w:val="3A8636B4"/>
    <w:rsid w:val="3ADB28B7"/>
    <w:rsid w:val="3C9C44B5"/>
    <w:rsid w:val="3DF956E0"/>
    <w:rsid w:val="3E1B6AA8"/>
    <w:rsid w:val="400B17A5"/>
    <w:rsid w:val="411B1DD2"/>
    <w:rsid w:val="45FD520F"/>
    <w:rsid w:val="4AF04F78"/>
    <w:rsid w:val="4C0C21D4"/>
    <w:rsid w:val="52835060"/>
    <w:rsid w:val="534335FE"/>
    <w:rsid w:val="53476AE3"/>
    <w:rsid w:val="54121F1B"/>
    <w:rsid w:val="58CF5E29"/>
    <w:rsid w:val="5A0D10E4"/>
    <w:rsid w:val="5ABD2FF1"/>
    <w:rsid w:val="5E96172A"/>
    <w:rsid w:val="5EBD6548"/>
    <w:rsid w:val="60E24015"/>
    <w:rsid w:val="615E309E"/>
    <w:rsid w:val="642025FB"/>
    <w:rsid w:val="64607B4B"/>
    <w:rsid w:val="67B53E5F"/>
    <w:rsid w:val="68CC0C06"/>
    <w:rsid w:val="69006A95"/>
    <w:rsid w:val="6DAE44D9"/>
    <w:rsid w:val="70923B35"/>
    <w:rsid w:val="71B90617"/>
    <w:rsid w:val="742F412F"/>
    <w:rsid w:val="74A62E69"/>
    <w:rsid w:val="74F210D4"/>
    <w:rsid w:val="74F81DBF"/>
    <w:rsid w:val="7558169B"/>
    <w:rsid w:val="75EE5544"/>
    <w:rsid w:val="765A7B03"/>
    <w:rsid w:val="77524FC0"/>
    <w:rsid w:val="77A70C7E"/>
    <w:rsid w:val="7CC50FE7"/>
    <w:rsid w:val="7CC86570"/>
    <w:rsid w:val="7EC45B54"/>
    <w:rsid w:val="7FF745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2019-06-17T01:23:00Z</cp:lastPrinted>
  <dcterms:modified xsi:type="dcterms:W3CDTF">2020-09-21T03:48:47Z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