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CC" w:rsidRDefault="00DE696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2020</w:t>
      </w:r>
      <w:r>
        <w:rPr>
          <w:rFonts w:hint="eastAsia"/>
          <w:b/>
          <w:sz w:val="32"/>
          <w:szCs w:val="32"/>
        </w:rPr>
        <w:t>年国家自然科学奖拟提名项目公示表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780"/>
      </w:tblGrid>
      <w:tr w:rsidR="001D25CC">
        <w:trPr>
          <w:trHeight w:val="454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780" w:type="dxa"/>
            <w:vAlign w:val="center"/>
          </w:tcPr>
          <w:p w:rsidR="001D25CC" w:rsidRPr="00614519" w:rsidRDefault="00474AD0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614519">
              <w:rPr>
                <w:rFonts w:hint="eastAsia"/>
                <w:sz w:val="24"/>
                <w:szCs w:val="24"/>
              </w:rPr>
              <w:t>宽禁带氧化物半导体的载流子调控及其光电子器件研究</w:t>
            </w:r>
            <w:bookmarkEnd w:id="0"/>
          </w:p>
        </w:tc>
      </w:tr>
      <w:tr w:rsidR="001D25CC">
        <w:trPr>
          <w:trHeight w:val="11891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提</w:t>
            </w:r>
          </w:p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</w:p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9780" w:type="dxa"/>
            <w:vAlign w:val="center"/>
          </w:tcPr>
          <w:p w:rsidR="001D25CC" w:rsidRDefault="00DE6967">
            <w:pPr>
              <w:spacing w:line="360" w:lineRule="auto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我单位认真审阅了该项目提名书及附件材料，确认全部材料真实有效，相关栏目均符合国家科学技术奖励工作办公室的填写要求。</w:t>
            </w:r>
          </w:p>
          <w:p w:rsidR="001D25CC" w:rsidRDefault="00DE6967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提名意见：</w:t>
            </w:r>
          </w:p>
          <w:p w:rsidR="001D25CC" w:rsidRDefault="00474AD0" w:rsidP="00474AD0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氧化锌等</w:t>
            </w:r>
            <w:r w:rsidRPr="00474A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宽禁带氧化物半导体是制备紫外光电子器件的理想材料，在高精度加工、生物医疗等领域有重要的应用前景。通过可控掺杂等手段实现的半导体载流子（电子和空穴）调控是获得高性能光电子器件的基础和核心。氧化锌等宽禁带氧化物半导体是天然n型（电子导电）材料，且自补偿效应强，所以在该项目开展之初，高效稳定的p型（空穴导电）掺杂在理论和技术上都遇到了巨大障碍，是制约其发展的世界性重大科学难题。项目组在国家863/973计划（首席）等项目的支持下，针对该问题进行了近20年的研究，提出了动态复合掺杂等载流子调控的新思想和新策略，解决了p型掺杂等重大科学问题，在宽禁带氧化物半导体紫外光电子器件方面取得了重大突破，为该领域的发展做出了开拓性贡献。被包括美国科学院院士、澳大利亚科学院院士等国际顶尖科学家在内的同行评论为“避免了本征施主的自补偿效应”、是“一种可靠的p型掺杂方式”和“为稳定可重复p型</w:t>
            </w:r>
            <w:proofErr w:type="spellStart"/>
            <w:r w:rsidRPr="00474A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ZnO</w:t>
            </w:r>
            <w:proofErr w:type="spellEnd"/>
            <w:r w:rsidRPr="00474A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制备提供了可行途径”等。8篇代表性论文发表在Phys. Rev. Lett., Adv. Mater., Chem. Rev.等国际著名期刊，被他引1026次（SCI-E数据库），2篇文章入选ESI高被引论文。相关工作获吉林省科学技术一等奖4项。</w:t>
            </w:r>
          </w:p>
          <w:p w:rsidR="001D25CC" w:rsidRDefault="001D25CC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D25CC" w:rsidRDefault="001D25CC">
            <w:pPr>
              <w:spacing w:line="360" w:lineRule="auto"/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D25CC" w:rsidRDefault="001D25CC" w:rsidP="00474AD0"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1D25CC" w:rsidRDefault="00DE6967">
            <w:pPr>
              <w:spacing w:line="360" w:lineRule="auto"/>
              <w:ind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提名者：</w:t>
            </w:r>
            <w:r w:rsidR="00474AD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中国科学院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。提名该项目为国家自然科学奖</w:t>
            </w:r>
            <w:r w:rsidR="00474AD0" w:rsidRPr="00474AD0"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 xml:space="preserve"> 二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等奖。</w:t>
            </w:r>
          </w:p>
        </w:tc>
      </w:tr>
      <w:tr w:rsidR="001D25CC">
        <w:trPr>
          <w:trHeight w:val="11891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项</w:t>
            </w:r>
          </w:p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目</w:t>
            </w:r>
          </w:p>
          <w:p w:rsidR="001D25CC" w:rsidRDefault="00DE6967">
            <w:pPr>
              <w:spacing w:line="360" w:lineRule="auto"/>
              <w:jc w:val="center"/>
            </w:pPr>
            <w:r>
              <w:rPr>
                <w:rFonts w:hint="eastAsia"/>
              </w:rPr>
              <w:t>简</w:t>
            </w:r>
          </w:p>
          <w:p w:rsidR="001D25CC" w:rsidRDefault="00DE696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</w:tc>
        <w:tc>
          <w:tcPr>
            <w:tcW w:w="9780" w:type="dxa"/>
            <w:vAlign w:val="center"/>
          </w:tcPr>
          <w:p w:rsidR="003F12C2" w:rsidRPr="003F12C2" w:rsidRDefault="003F12C2" w:rsidP="003F12C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 w:rsidRPr="003F12C2">
              <w:rPr>
                <w:rFonts w:ascii="宋体" w:hAnsi="宋体" w:hint="eastAsia"/>
                <w:sz w:val="24"/>
                <w:szCs w:val="20"/>
              </w:rPr>
              <w:t>该项目属于信息领域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宽禁带氧化物半导体光电子材料与器件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方向。</w:t>
            </w:r>
          </w:p>
          <w:p w:rsidR="003F12C2" w:rsidRPr="003F12C2" w:rsidRDefault="003F12C2" w:rsidP="003F12C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  <w:szCs w:val="20"/>
              </w:rPr>
            </w:pPr>
            <w:r w:rsidRPr="003F12C2">
              <w:rPr>
                <w:rFonts w:ascii="宋体" w:hAnsi="宋体" w:hint="eastAsia"/>
                <w:sz w:val="24"/>
                <w:szCs w:val="20"/>
              </w:rPr>
              <w:t>氧化锌等宽禁带氧化物半导体是制备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激子型高效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紫外发光二极管、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低阈值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紫外激光器和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高性能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紫外探测器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等紫外光电子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器件的理想材料，在高精度加工制造、生物医疗和国防等领域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有重要的应用前景。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通过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可控掺杂等手段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实现的半导体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载流子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（电子和空穴）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调控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是获得高性能光电子器件的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基础和核心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。但是，由于氧化锌是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天然n型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（电子导电）材料，且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自补偿效应极强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，即掺入的受主（产生空穴）很容易被伴随掺杂而新产生的施主（产生电子）所补偿，因此其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高效稳定的p型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（空穴导电）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掺杂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在理论和技术上都面临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巨大障碍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，成为制约宽禁带氧化物半导体光电子器件发展的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世界性重大科学难题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。项目组在国家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973计划（首席）等项目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的支持下，针对该问题进行了近二十年的研究，提出了动态复合掺杂等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载流子调控的新思想和新策略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，解决了高效稳定的p型掺杂等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重大科学问题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，发展了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半导体掺杂理论和技术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，实现了宽禁带氧化物半导体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紫外光电子器件的重大突破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。主要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科学发现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如下：</w:t>
            </w:r>
          </w:p>
          <w:p w:rsidR="003F12C2" w:rsidRPr="003F12C2" w:rsidRDefault="003F12C2" w:rsidP="003F12C2">
            <w:pPr>
              <w:spacing w:line="400" w:lineRule="exact"/>
              <w:ind w:firstLineChars="200" w:firstLine="482"/>
              <w:rPr>
                <w:rFonts w:ascii="宋体" w:hAnsi="宋体"/>
                <w:sz w:val="24"/>
                <w:szCs w:val="20"/>
              </w:rPr>
            </w:pP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1.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 xml:space="preserve"> 提出了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动态复合掺杂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学术思想，利用亚稳态双施主向</w:t>
            </w:r>
            <w:proofErr w:type="gramStart"/>
            <w:r w:rsidRPr="003F12C2">
              <w:rPr>
                <w:rFonts w:ascii="宋体" w:hAnsi="宋体" w:hint="eastAsia"/>
                <w:sz w:val="24"/>
                <w:szCs w:val="20"/>
              </w:rPr>
              <w:t>稳态双</w:t>
            </w:r>
            <w:proofErr w:type="gramEnd"/>
            <w:r w:rsidRPr="003F12C2">
              <w:rPr>
                <w:rFonts w:ascii="宋体" w:hAnsi="宋体" w:hint="eastAsia"/>
                <w:sz w:val="24"/>
                <w:szCs w:val="20"/>
              </w:rPr>
              <w:t>受主的动态转化过程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避免了自补偿效应，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解决了宽禁带氧化物半导体的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p型掺杂难题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，发展出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第一个激子型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ZnO</w:t>
            </w:r>
            <w:proofErr w:type="spellEnd"/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电致发光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器件和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低阈值紫外激光，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超过半数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ZnO</w:t>
            </w:r>
            <w:proofErr w:type="spellEnd"/>
            <w:r w:rsidRPr="003F12C2">
              <w:rPr>
                <w:rFonts w:ascii="宋体" w:hAnsi="宋体" w:hint="eastAsia"/>
                <w:sz w:val="24"/>
                <w:szCs w:val="24"/>
              </w:rPr>
              <w:t>同质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4"/>
              </w:rPr>
              <w:t>pn</w:t>
            </w:r>
            <w:proofErr w:type="spellEnd"/>
            <w:r w:rsidRPr="003F12C2">
              <w:rPr>
                <w:rFonts w:ascii="宋体" w:hAnsi="宋体" w:hint="eastAsia"/>
                <w:sz w:val="24"/>
                <w:szCs w:val="24"/>
              </w:rPr>
              <w:t>结薄膜发光二极管的后续报道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引用和跟进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了该思想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。美国科学院院士</w:t>
            </w:r>
            <w:r w:rsidRPr="003F12C2">
              <w:rPr>
                <w:rFonts w:ascii="宋体" w:hAnsi="宋体"/>
                <w:sz w:val="24"/>
                <w:szCs w:val="20"/>
              </w:rPr>
              <w:t xml:space="preserve">D. E. </w:t>
            </w:r>
            <w:proofErr w:type="spellStart"/>
            <w:r w:rsidRPr="003F12C2">
              <w:rPr>
                <w:rFonts w:ascii="宋体" w:hAnsi="宋体"/>
                <w:sz w:val="24"/>
                <w:szCs w:val="20"/>
              </w:rPr>
              <w:t>Aspnes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>、西班牙皇家工程院院士</w:t>
            </w:r>
            <w:r w:rsidRPr="003F12C2">
              <w:rPr>
                <w:rFonts w:ascii="宋体" w:hAnsi="宋体"/>
                <w:sz w:val="24"/>
                <w:szCs w:val="20"/>
              </w:rPr>
              <w:t>E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.</w:t>
            </w:r>
            <w:r w:rsidRPr="003F12C2">
              <w:rPr>
                <w:rFonts w:ascii="宋体" w:hAnsi="宋体"/>
                <w:sz w:val="24"/>
                <w:szCs w:val="20"/>
              </w:rPr>
              <w:t xml:space="preserve"> Muñoz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等认为该发现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“避免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了本征施主的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自补偿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效应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”</w:t>
            </w:r>
            <w:r w:rsidRPr="003F12C2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为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稳定可重复p型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ZnO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 xml:space="preserve"> 制备提供了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可行途径”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和得到了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“唯一的”激子型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发光二极管等。</w:t>
            </w:r>
          </w:p>
          <w:p w:rsidR="003F12C2" w:rsidRPr="003F12C2" w:rsidRDefault="003F12C2" w:rsidP="003F12C2">
            <w:pPr>
              <w:spacing w:line="400" w:lineRule="exact"/>
              <w:ind w:firstLineChars="200" w:firstLine="482"/>
              <w:rPr>
                <w:rFonts w:ascii="宋体" w:hAnsi="宋体"/>
                <w:sz w:val="24"/>
                <w:szCs w:val="20"/>
              </w:rPr>
            </w:pP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2.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 xml:space="preserve"> 发现了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表面晶格无序化控制实现载流子高效自发分离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的新策略，利用表面无序晶格和内核有序晶格对电子和空穴的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空间分布限制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，解决了传统宽禁带氧化物半导体中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载流子复合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导致的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光电转换效率低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的难题，得到了美国、德国等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40余个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国家和地区的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300余个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研究单位的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引用和跟进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研究。顶级材料学家德国埃朗根-纽伦堡大学教授</w:t>
            </w:r>
            <w:r w:rsidRPr="003F12C2">
              <w:rPr>
                <w:rFonts w:ascii="宋体" w:hAnsi="宋体"/>
                <w:sz w:val="24"/>
                <w:szCs w:val="20"/>
              </w:rPr>
              <w:t>P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.</w:t>
            </w:r>
            <w:r w:rsidRPr="003F12C2">
              <w:rPr>
                <w:rFonts w:ascii="宋体" w:hAnsi="宋体"/>
                <w:sz w:val="24"/>
                <w:szCs w:val="20"/>
              </w:rPr>
              <w:t xml:space="preserve"> </w:t>
            </w:r>
            <w:proofErr w:type="spellStart"/>
            <w:r w:rsidRPr="003F12C2">
              <w:rPr>
                <w:rFonts w:ascii="宋体" w:hAnsi="宋体"/>
                <w:sz w:val="24"/>
                <w:szCs w:val="20"/>
              </w:rPr>
              <w:t>Schmuki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>等认为该发现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提供了一条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高效电荷分离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（的途径）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”，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是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高效光生电荷分离的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引领潮流的战略方法”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等。</w:t>
            </w:r>
          </w:p>
          <w:p w:rsidR="003F12C2" w:rsidRPr="003F12C2" w:rsidRDefault="003F12C2" w:rsidP="003F12C2">
            <w:pPr>
              <w:spacing w:line="400" w:lineRule="exact"/>
              <w:ind w:firstLineChars="200" w:firstLine="482"/>
              <w:rPr>
                <w:rFonts w:ascii="宋体" w:hAnsi="宋体"/>
                <w:sz w:val="24"/>
                <w:szCs w:val="20"/>
              </w:rPr>
            </w:pP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3.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 xml:space="preserve"> 发现了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异质微界面操控实现载流子可控输运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的新机制，结合界面势垒对载流子的限制作用和光对势垒的调控作用，解决了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响应度和暗电流难以协同优化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的半导体光电探测器传统难题，实现了氧化物半导体紫外探测器的响应度、暗电流和响应速度等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核心指标的高性能并举，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其日</w:t>
            </w:r>
            <w:proofErr w:type="gramStart"/>
            <w:r w:rsidRPr="003F12C2">
              <w:rPr>
                <w:rFonts w:ascii="宋体" w:hAnsi="宋体" w:hint="eastAsia"/>
                <w:sz w:val="24"/>
                <w:szCs w:val="20"/>
              </w:rPr>
              <w:t>盲</w:t>
            </w:r>
            <w:proofErr w:type="gramEnd"/>
            <w:r w:rsidRPr="003F12C2">
              <w:rPr>
                <w:rFonts w:ascii="宋体" w:hAnsi="宋体" w:hint="eastAsia"/>
                <w:sz w:val="24"/>
                <w:szCs w:val="20"/>
              </w:rPr>
              <w:t>波段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响应度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（255nm附近）已达主流同类商品化器件的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100倍以上。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 xml:space="preserve">该发现被立陶宛科学院外籍院士Michael S. 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Shur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>、印度科学院院士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Raychaudhuri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>等同行关注和跟踪，被认为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为高性能</w:t>
            </w:r>
            <w:proofErr w:type="spellStart"/>
            <w:r w:rsidRPr="003F12C2">
              <w:rPr>
                <w:rFonts w:ascii="宋体" w:hAnsi="宋体" w:hint="eastAsia"/>
                <w:sz w:val="24"/>
                <w:szCs w:val="20"/>
              </w:rPr>
              <w:t>ZnO</w:t>
            </w:r>
            <w:proofErr w:type="spellEnd"/>
            <w:r w:rsidRPr="003F12C2">
              <w:rPr>
                <w:rFonts w:ascii="宋体" w:hAnsi="宋体" w:hint="eastAsia"/>
                <w:sz w:val="24"/>
                <w:szCs w:val="20"/>
              </w:rPr>
              <w:t>紫外探测器的实现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提供一条可行途径”，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并肯定了器件的</w:t>
            </w:r>
            <w:r w:rsidRPr="003F12C2">
              <w:rPr>
                <w:rFonts w:ascii="宋体" w:hAnsi="宋体" w:hint="eastAsia"/>
                <w:b/>
                <w:sz w:val="24"/>
                <w:szCs w:val="20"/>
              </w:rPr>
              <w:t>“超高的响应度”</w:t>
            </w:r>
            <w:r w:rsidRPr="003F12C2">
              <w:rPr>
                <w:rFonts w:ascii="宋体" w:hAnsi="宋体" w:hint="eastAsia"/>
                <w:sz w:val="24"/>
                <w:szCs w:val="20"/>
              </w:rPr>
              <w:t>等。</w:t>
            </w:r>
          </w:p>
          <w:p w:rsidR="003F12C2" w:rsidRPr="003F12C2" w:rsidRDefault="003F12C2" w:rsidP="003F12C2">
            <w:pPr>
              <w:spacing w:line="400" w:lineRule="exact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 w:rsidRPr="003F12C2">
              <w:rPr>
                <w:rFonts w:ascii="宋体" w:hAnsi="宋体" w:hint="eastAsia"/>
                <w:sz w:val="24"/>
                <w:szCs w:val="24"/>
              </w:rPr>
              <w:t>该项目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8篇代表性论文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发表在</w:t>
            </w:r>
            <w:r w:rsidRPr="003F12C2">
              <w:rPr>
                <w:rFonts w:ascii="宋体" w:hAnsi="宋体"/>
                <w:sz w:val="24"/>
                <w:szCs w:val="24"/>
              </w:rPr>
              <w:t>Phys. Rev. Lett., Adv. Mater.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, Chem. Rev.等国际著名期刊，累计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影响因子110.619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 xml:space="preserve">，被Nature </w:t>
            </w:r>
            <w:proofErr w:type="gramStart"/>
            <w:r w:rsidRPr="003F12C2">
              <w:rPr>
                <w:rFonts w:ascii="宋体" w:hAnsi="宋体" w:hint="eastAsia"/>
                <w:sz w:val="24"/>
                <w:szCs w:val="24"/>
              </w:rPr>
              <w:t>Photon.,</w:t>
            </w:r>
            <w:proofErr w:type="gramEnd"/>
            <w:r w:rsidRPr="003F12C2">
              <w:rPr>
                <w:rFonts w:ascii="宋体" w:hAnsi="宋体" w:hint="eastAsia"/>
                <w:sz w:val="24"/>
                <w:szCs w:val="24"/>
              </w:rPr>
              <w:t xml:space="preserve"> Nature Nanotech.等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SCI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期刊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他引1026次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，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2篇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文章入选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ESI高被引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论文（前1%）。相关工作成果分别于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2008年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（发现1）、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2012年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（发现3）、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2015年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（发现1）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和2019年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（发现2）获</w:t>
            </w:r>
            <w:r w:rsidRPr="003F12C2">
              <w:rPr>
                <w:rFonts w:ascii="宋体" w:hAnsi="宋体" w:hint="eastAsia"/>
                <w:b/>
                <w:sz w:val="24"/>
                <w:szCs w:val="24"/>
              </w:rPr>
              <w:t>吉林省科学技术一等奖4项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1D25CC" w:rsidRDefault="003F12C2" w:rsidP="003F12C2">
            <w:pPr>
              <w:spacing w:line="400" w:lineRule="exact"/>
              <w:ind w:firstLineChars="200" w:firstLine="56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3F12C2">
              <w:rPr>
                <w:rFonts w:ascii="宋体" w:hAnsi="宋体"/>
                <w:color w:val="000000" w:themeColor="text1"/>
                <w:sz w:val="28"/>
                <w:szCs w:val="20"/>
              </w:rPr>
              <w:br w:type="page"/>
            </w:r>
          </w:p>
        </w:tc>
      </w:tr>
      <w:tr w:rsidR="001D25CC">
        <w:trPr>
          <w:trHeight w:val="13457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lastRenderedPageBreak/>
              <w:t>代表性论文专著目录</w:t>
            </w:r>
          </w:p>
        </w:tc>
        <w:tc>
          <w:tcPr>
            <w:tcW w:w="9780" w:type="dxa"/>
            <w:vAlign w:val="center"/>
          </w:tcPr>
          <w:p w:rsidR="00B551CB" w:rsidRP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>Lei Liu,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Jilian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Xu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>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Dandan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Wang,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Mingming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Jiang,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Shuangpeng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Wang,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Binghui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Li,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Zhenzhong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Zhang,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Dongxu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Zhao,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Chong-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Xin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Shan,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Bin Yao, D. Z. Shen, p-Type conductivity in n-doped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>: the role of the N Zn</w:t>
            </w:r>
            <w:r w:rsidRPr="00B551CB">
              <w:rPr>
                <w:rFonts w:ascii="Times New Roman" w:eastAsia="微软雅黑" w:hAnsi="Times New Roman"/>
                <w:sz w:val="24"/>
                <w:szCs w:val="24"/>
              </w:rPr>
              <w:t>−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 V O complex,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Physical Review Letters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108(21), 2012, 215501(5).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 Lei Liu,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Peter Y. Yu,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Xiaobo Chen,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Samuel S. Mao, D. Z. Shen, Hydrogenation and disorder in engineered black TiO</w:t>
            </w:r>
            <w:r w:rsidRPr="00B551C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Physical review letters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111(6), 2013, 065505(5).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Hai Zhu, Chong-Xin Shan, Bin Yao, Bing-Hui Li,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Ji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>-Ying Zhang,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Zheng-Zhong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Zhang, Dong-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Xu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Zhao, De-Zhen Shen, Xi-Wu Fan,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You-Ming Lu,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-Kang Tang, Ultralow-Threshold Laser Realized in Zinc Oxide,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Advanced Materials,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 21(16), 2009, 1613-1617.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Lei Liu, Xiaobo Chen, Titanium Dioxide Nanomaterials: Self-Structural Modi ﬁ cations,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Chemical reviews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114(19), 2014, 9890-9918.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S. J. Jiao, Z. Z. Zhang, Y. M. Lu, D. Z. Shen, B. Yao, J. Y. Zhang, B. H. Li, D. X. Zhao, X. W. Fan, Z. K. Tang,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p-n junction light-emitting diodes fabricated on sapphire substrates,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Applied Physics Letters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88(3), 2006, 031911(3).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Z. P. Wei, Y. M. Lu, D. Z. Shen, Z. Z. Zhang, B. Yao, B. H. Li, J. Y. Zhang, D. X. Zhao, X. W. Fan, Z. K. Tang, Room temperature p-n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blue-violet light-emitting diodes,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Applied Physics Letters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90(4), 2007, 042113(3).</w:t>
            </w:r>
          </w:p>
          <w:p w:rsid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 xml:space="preserve">M. M. Fan, K. W. Liu, Z. Z. Zhang, B. H. Li, X. Chen, D. X. Zhao, C. X. Shan, D. Z. Shen, High-performance solar-blind ultraviolet photodetector based on mixed-phase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ZnMgO</w:t>
            </w:r>
            <w:proofErr w:type="spellEnd"/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thin film,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Applied Physics Letters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105(1), 2014, 011117(5).</w:t>
            </w:r>
          </w:p>
          <w:p w:rsidR="00B551CB" w:rsidRPr="00B551CB" w:rsidRDefault="00B551CB" w:rsidP="00B551CB">
            <w:pPr>
              <w:pStyle w:val="a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t>K.W. Liu, J.G. Ma, J.Y. Zhang, Y.M. Lu, D.Y. Jiang, B.H. Li, D.X. Zhao,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Z.Z. Zhang, B. Yao, D.Z. Shen, Ultraviolet photoconductive detector with high visible rejection</w:t>
            </w:r>
            <w:r w:rsidRPr="00B551CB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 xml:space="preserve">and fast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photoresponse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based on </w:t>
            </w:r>
            <w:proofErr w:type="spellStart"/>
            <w:r w:rsidRPr="00B551CB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B551CB">
              <w:rPr>
                <w:rFonts w:ascii="Times New Roman" w:hAnsi="Times New Roman"/>
                <w:sz w:val="24"/>
                <w:szCs w:val="24"/>
              </w:rPr>
              <w:t xml:space="preserve"> thin ﬁlm, </w:t>
            </w:r>
            <w:r w:rsidRPr="00B551C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Solid-State Electronics</w:t>
            </w:r>
            <w:r w:rsidRPr="00B551CB">
              <w:rPr>
                <w:rFonts w:ascii="Times New Roman" w:hAnsi="Times New Roman"/>
                <w:sz w:val="24"/>
                <w:szCs w:val="24"/>
              </w:rPr>
              <w:t>, 51(5), 2007, 757-761.</w:t>
            </w:r>
          </w:p>
          <w:p w:rsidR="00B551CB" w:rsidRPr="00B551CB" w:rsidRDefault="00B551CB" w:rsidP="00B551CB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51CB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1D25CC" w:rsidRPr="00B551CB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 w:rsidP="00B551CB">
            <w:pPr>
              <w:adjustRightInd w:val="0"/>
              <w:snapToGrid w:val="0"/>
              <w:spacing w:line="360" w:lineRule="auto"/>
              <w:rPr>
                <w:szCs w:val="21"/>
              </w:rPr>
            </w:pPr>
          </w:p>
        </w:tc>
      </w:tr>
      <w:tr w:rsidR="001D25CC">
        <w:trPr>
          <w:trHeight w:val="14490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</w:pPr>
            <w:r>
              <w:rPr>
                <w:rFonts w:ascii="宋体" w:hAnsi="宋体" w:hint="eastAsia"/>
                <w:color w:val="000000"/>
                <w:sz w:val="24"/>
                <w:szCs w:val="32"/>
              </w:rPr>
              <w:lastRenderedPageBreak/>
              <w:t>主要完成人</w:t>
            </w:r>
          </w:p>
        </w:tc>
        <w:tc>
          <w:tcPr>
            <w:tcW w:w="9780" w:type="dxa"/>
            <w:vAlign w:val="center"/>
          </w:tcPr>
          <w:p w:rsidR="00841FB7" w:rsidRPr="00841FB7" w:rsidRDefault="00841FB7" w:rsidP="00841FB7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申德振，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排名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国家重点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实验室主任，研究员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工作单位：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中国科学院长春光学精密机械与物理研究所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项目完成单位：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中国科学院长春光学精密机械与物理研究所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主要学术贡献：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对科学发现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1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2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3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做出了创造性的贡献。全面负责项目工作的实施和总体目标的实现，提出了动态复合掺杂、表面晶格无序化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控制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、异质微界面操控等载流子调控的新思想和新策略，实现了</w:t>
            </w:r>
            <w:proofErr w:type="spellStart"/>
            <w:r w:rsidRPr="00841FB7">
              <w:rPr>
                <w:rFonts w:ascii="Times New Roman" w:hAnsi="Times New Roman"/>
                <w:sz w:val="24"/>
                <w:szCs w:val="24"/>
              </w:rPr>
              <w:t>ZnO</w:t>
            </w:r>
            <w:proofErr w:type="spellEnd"/>
            <w:r w:rsidRPr="00841FB7">
              <w:rPr>
                <w:rFonts w:ascii="Times New Roman" w:hAnsi="Times New Roman"/>
                <w:sz w:val="24"/>
                <w:szCs w:val="24"/>
              </w:rPr>
              <w:t>基激子型发光二极管等宽禁带氧化物半导体紫外光电子器件，是代表性论文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1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7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的通讯作者，代表性论文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2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3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5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6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、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8</w:t>
            </w:r>
            <w:r w:rsidRPr="00841FB7">
              <w:rPr>
                <w:rFonts w:ascii="Times New Roman" w:hAnsi="Times New Roman"/>
                <w:sz w:val="24"/>
                <w:szCs w:val="24"/>
              </w:rPr>
              <w:t>的主要作者。</w:t>
            </w:r>
            <w:r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曾获国家科技奖励情况：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2015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年，国家自然科学奖二等奖，项目名称：低维氧化锌材料的载流子调控与功能化研究，排名第二，证书编号：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2015-Z-108-2-04-R02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41FB7" w:rsidRPr="00841FB7" w:rsidRDefault="00841FB7" w:rsidP="00841FB7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841FB7">
              <w:rPr>
                <w:rFonts w:ascii="宋体" w:hAnsi="宋体" w:hint="eastAsia"/>
                <w:b/>
                <w:sz w:val="24"/>
                <w:szCs w:val="24"/>
              </w:rPr>
              <w:t>刘雷，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排名2，</w:t>
            </w:r>
            <w:r w:rsidR="003A1E4F">
              <w:rPr>
                <w:rFonts w:ascii="宋体" w:hAnsi="宋体" w:hint="eastAsia"/>
                <w:sz w:val="24"/>
                <w:szCs w:val="24"/>
              </w:rPr>
              <w:t>国家重点实验室副主任，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研究员</w:t>
            </w:r>
            <w:r w:rsidR="003A1E4F">
              <w:rPr>
                <w:rFonts w:ascii="宋体" w:hAnsi="宋体" w:hint="eastAsia"/>
                <w:sz w:val="24"/>
                <w:szCs w:val="24"/>
              </w:rPr>
              <w:t>。</w:t>
            </w:r>
            <w:r w:rsidRPr="003A1E4F">
              <w:rPr>
                <w:rFonts w:ascii="宋体" w:hAnsi="宋体" w:hint="eastAsia"/>
                <w:b/>
                <w:sz w:val="24"/>
                <w:szCs w:val="24"/>
              </w:rPr>
              <w:t>工作单位：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中国科学院长春光学精密机械与物理研究所</w:t>
            </w:r>
            <w:r w:rsidR="003A1E4F">
              <w:rPr>
                <w:rFonts w:ascii="宋体" w:hAnsi="宋体" w:hint="eastAsia"/>
                <w:sz w:val="24"/>
                <w:szCs w:val="24"/>
              </w:rPr>
              <w:t>。</w:t>
            </w:r>
            <w:r w:rsidR="003A1E4F" w:rsidRPr="003A1E4F">
              <w:rPr>
                <w:rFonts w:ascii="Times New Roman" w:hAnsi="Times New Roman" w:hint="eastAsia"/>
                <w:b/>
                <w:sz w:val="24"/>
                <w:szCs w:val="24"/>
              </w:rPr>
              <w:t>项目</w:t>
            </w:r>
            <w:r w:rsidRPr="003A1E4F">
              <w:rPr>
                <w:rFonts w:ascii="Times New Roman" w:hAnsi="Times New Roman" w:hint="eastAsia"/>
                <w:b/>
                <w:sz w:val="24"/>
                <w:szCs w:val="24"/>
              </w:rPr>
              <w:t>完成单位：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中国科学院长春光学精密机械与物理研究所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主要学术贡献：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对科学发现</w:t>
            </w:r>
            <w:r w:rsidRPr="00841FB7">
              <w:rPr>
                <w:rFonts w:ascii="宋体" w:hAnsi="宋体"/>
                <w:sz w:val="24"/>
                <w:szCs w:val="24"/>
              </w:rPr>
              <w:t>1、2做出了创造性的贡献。提出了动态复合掺杂实现高质量p型</w:t>
            </w:r>
            <w:proofErr w:type="spellStart"/>
            <w:r w:rsidRPr="00841FB7">
              <w:rPr>
                <w:rFonts w:ascii="宋体" w:hAnsi="宋体"/>
                <w:sz w:val="24"/>
                <w:szCs w:val="24"/>
              </w:rPr>
              <w:t>ZnO</w:t>
            </w:r>
            <w:proofErr w:type="spellEnd"/>
            <w:r w:rsidRPr="00841FB7">
              <w:rPr>
                <w:rFonts w:ascii="宋体" w:hAnsi="宋体"/>
                <w:sz w:val="24"/>
                <w:szCs w:val="24"/>
              </w:rPr>
              <w:t>和表面无序化实现TiO</w:t>
            </w:r>
            <w:r w:rsidRPr="00841FB7">
              <w:rPr>
                <w:rFonts w:ascii="宋体" w:hAnsi="宋体"/>
                <w:sz w:val="24"/>
                <w:szCs w:val="24"/>
                <w:vertAlign w:val="subscript"/>
              </w:rPr>
              <w:t>2</w:t>
            </w:r>
            <w:r w:rsidRPr="00841FB7">
              <w:rPr>
                <w:rFonts w:ascii="宋体" w:hAnsi="宋体"/>
                <w:sz w:val="24"/>
                <w:szCs w:val="24"/>
              </w:rPr>
              <w:t>载流子自发分离调控的新理论和新方法。是代表性论文1、2、4的第一作者和通讯作者。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曾获国家科技奖励情况：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无。</w:t>
            </w:r>
          </w:p>
          <w:p w:rsidR="00841FB7" w:rsidRPr="00841FB7" w:rsidRDefault="00841FB7" w:rsidP="00841FB7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3A1E4F">
              <w:rPr>
                <w:rFonts w:ascii="宋体" w:hAnsi="宋体" w:hint="eastAsia"/>
                <w:b/>
                <w:sz w:val="24"/>
                <w:szCs w:val="24"/>
              </w:rPr>
              <w:t>单崇新，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排名3，</w:t>
            </w:r>
            <w:r w:rsidR="003A1E4F">
              <w:rPr>
                <w:rFonts w:ascii="宋体" w:hAnsi="宋体" w:hint="eastAsia"/>
                <w:sz w:val="24"/>
                <w:szCs w:val="24"/>
              </w:rPr>
              <w:t>物理学院院长，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教授，</w:t>
            </w:r>
            <w:r w:rsidRPr="003A1E4F">
              <w:rPr>
                <w:rFonts w:ascii="Times New Roman" w:hAnsi="Times New Roman" w:hint="eastAsia"/>
                <w:b/>
                <w:sz w:val="24"/>
                <w:szCs w:val="24"/>
              </w:rPr>
              <w:t>工作单位：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郑州大学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3A1E4F" w:rsidRPr="003A1E4F">
              <w:rPr>
                <w:rFonts w:ascii="Times New Roman" w:hAnsi="Times New Roman" w:hint="eastAsia"/>
                <w:b/>
                <w:sz w:val="24"/>
                <w:szCs w:val="24"/>
              </w:rPr>
              <w:t>项目</w:t>
            </w:r>
            <w:r w:rsidRPr="003A1E4F">
              <w:rPr>
                <w:rFonts w:ascii="Times New Roman" w:hAnsi="Times New Roman" w:hint="eastAsia"/>
                <w:b/>
                <w:sz w:val="24"/>
                <w:szCs w:val="24"/>
              </w:rPr>
              <w:t>完成单位：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中国科学院长春光学精密机械与物理研究所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主要学术贡献：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对科学发现</w:t>
            </w:r>
            <w:r w:rsidRPr="00841FB7">
              <w:rPr>
                <w:rFonts w:ascii="宋体" w:hAnsi="宋体"/>
                <w:sz w:val="24"/>
                <w:szCs w:val="24"/>
              </w:rPr>
              <w:t>1、3做出了创造性贡献。实验上验证了动态复合掺杂思想，实现了稳定的p型</w:t>
            </w:r>
            <w:proofErr w:type="spellStart"/>
            <w:r w:rsidRPr="00841FB7">
              <w:rPr>
                <w:rFonts w:ascii="宋体" w:hAnsi="宋体"/>
                <w:sz w:val="24"/>
                <w:szCs w:val="24"/>
              </w:rPr>
              <w:t>ZnO</w:t>
            </w:r>
            <w:proofErr w:type="spellEnd"/>
            <w:r w:rsidRPr="00841FB7">
              <w:rPr>
                <w:rFonts w:ascii="宋体" w:hAnsi="宋体"/>
                <w:sz w:val="24"/>
                <w:szCs w:val="24"/>
              </w:rPr>
              <w:t>，获得了</w:t>
            </w:r>
            <w:proofErr w:type="spellStart"/>
            <w:r w:rsidRPr="00841FB7">
              <w:rPr>
                <w:rFonts w:ascii="宋体" w:hAnsi="宋体"/>
                <w:sz w:val="24"/>
                <w:szCs w:val="24"/>
              </w:rPr>
              <w:t>ZnO</w:t>
            </w:r>
            <w:proofErr w:type="spellEnd"/>
            <w:r w:rsidRPr="00841FB7">
              <w:rPr>
                <w:rFonts w:ascii="宋体" w:hAnsi="宋体"/>
                <w:sz w:val="24"/>
                <w:szCs w:val="24"/>
              </w:rPr>
              <w:t>基激子型发光和低阈值激光，并实现了国际上首</w:t>
            </w:r>
            <w:proofErr w:type="gramStart"/>
            <w:r w:rsidRPr="00841FB7">
              <w:rPr>
                <w:rFonts w:ascii="宋体" w:hAnsi="宋体"/>
                <w:sz w:val="24"/>
                <w:szCs w:val="24"/>
              </w:rPr>
              <w:t>个</w:t>
            </w:r>
            <w:proofErr w:type="spellStart"/>
            <w:proofErr w:type="gramEnd"/>
            <w:r w:rsidRPr="00841FB7">
              <w:rPr>
                <w:rFonts w:ascii="宋体" w:hAnsi="宋体"/>
                <w:sz w:val="24"/>
                <w:szCs w:val="24"/>
              </w:rPr>
              <w:t>ZnO</w:t>
            </w:r>
            <w:proofErr w:type="spellEnd"/>
            <w:r w:rsidRPr="00841FB7">
              <w:rPr>
                <w:rFonts w:ascii="宋体" w:hAnsi="宋体"/>
                <w:sz w:val="24"/>
                <w:szCs w:val="24"/>
              </w:rPr>
              <w:t>基雪崩探测器。是代表性论文3的通讯作者，代表性论文1、7的主要作者。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曾获国家科技奖励情况：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无。</w:t>
            </w:r>
          </w:p>
          <w:p w:rsidR="00841FB7" w:rsidRPr="00841FB7" w:rsidRDefault="00841FB7" w:rsidP="00841FB7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C76C57">
              <w:rPr>
                <w:rFonts w:ascii="宋体" w:hAnsi="宋体" w:hint="eastAsia"/>
                <w:b/>
                <w:sz w:val="24"/>
                <w:szCs w:val="24"/>
              </w:rPr>
              <w:t>刘可为，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排名4，研究员</w:t>
            </w:r>
            <w:r w:rsidR="00C76C57">
              <w:rPr>
                <w:rFonts w:ascii="宋体" w:hAnsi="宋体" w:hint="eastAsia"/>
                <w:sz w:val="24"/>
                <w:szCs w:val="24"/>
              </w:rPr>
              <w:t>。</w:t>
            </w:r>
            <w:r w:rsidRPr="00C76C57">
              <w:rPr>
                <w:rFonts w:ascii="Times New Roman" w:hAnsi="Times New Roman" w:hint="eastAsia"/>
                <w:b/>
                <w:sz w:val="24"/>
                <w:szCs w:val="24"/>
              </w:rPr>
              <w:t>工作单位：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中国科学院长春光学精密机械与物理研究所</w:t>
            </w:r>
            <w:r w:rsidR="00C76C57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C76C57" w:rsidRPr="00C76C57">
              <w:rPr>
                <w:rFonts w:ascii="Times New Roman" w:hAnsi="Times New Roman" w:hint="eastAsia"/>
                <w:b/>
                <w:sz w:val="24"/>
                <w:szCs w:val="24"/>
              </w:rPr>
              <w:t>项目</w:t>
            </w:r>
            <w:r w:rsidRPr="00C76C57">
              <w:rPr>
                <w:rFonts w:ascii="Times New Roman" w:hAnsi="Times New Roman" w:hint="eastAsia"/>
                <w:b/>
                <w:sz w:val="24"/>
                <w:szCs w:val="24"/>
              </w:rPr>
              <w:t>完成单位：中</w:t>
            </w:r>
            <w:r w:rsidRPr="00841FB7">
              <w:rPr>
                <w:rFonts w:ascii="Times New Roman" w:hAnsi="Times New Roman" w:hint="eastAsia"/>
                <w:sz w:val="24"/>
                <w:szCs w:val="24"/>
              </w:rPr>
              <w:t>国科学院长春光学精密机械与物理研究所</w:t>
            </w:r>
            <w:r w:rsidR="00C76C57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C76C57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主要学术贡献：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对科学发现</w:t>
            </w:r>
            <w:r w:rsidRPr="00841FB7">
              <w:rPr>
                <w:rFonts w:ascii="宋体" w:hAnsi="宋体"/>
                <w:sz w:val="24"/>
                <w:szCs w:val="24"/>
              </w:rPr>
              <w:t>3做出了创造性贡献。发现了异质微界面操控实现载流子可控输运的新策略</w:t>
            </w:r>
            <w:r w:rsidR="00C76C57">
              <w:rPr>
                <w:rFonts w:ascii="宋体" w:hAnsi="宋体"/>
                <w:sz w:val="24"/>
                <w:szCs w:val="24"/>
              </w:rPr>
              <w:t>，</w:t>
            </w:r>
            <w:r w:rsidR="00C76C57">
              <w:rPr>
                <w:rFonts w:ascii="宋体" w:hAnsi="宋体" w:hint="eastAsia"/>
                <w:sz w:val="24"/>
                <w:szCs w:val="24"/>
              </w:rPr>
              <w:t>实现了高性能的紫外光电器件</w:t>
            </w:r>
            <w:r w:rsidRPr="00841FB7">
              <w:rPr>
                <w:rFonts w:ascii="宋体" w:hAnsi="宋体"/>
                <w:sz w:val="24"/>
                <w:szCs w:val="24"/>
              </w:rPr>
              <w:t>。是代表性论文7的通讯作者，代表性论文8的第一作者和通讯作者。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曾获国家科技奖励情况：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无。</w:t>
            </w:r>
          </w:p>
          <w:p w:rsidR="00841FB7" w:rsidRPr="00841FB7" w:rsidRDefault="00841FB7" w:rsidP="00841FB7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Times New Roman" w:hAnsi="Times New Roman"/>
                <w:sz w:val="24"/>
                <w:szCs w:val="24"/>
              </w:rPr>
            </w:pPr>
            <w:r w:rsidRPr="00C76C57">
              <w:rPr>
                <w:rFonts w:ascii="宋体" w:hAnsi="宋体" w:hint="eastAsia"/>
                <w:b/>
                <w:sz w:val="24"/>
                <w:szCs w:val="24"/>
              </w:rPr>
              <w:t>吕有明，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排名5，教授</w:t>
            </w:r>
            <w:r w:rsidR="00C76C57">
              <w:rPr>
                <w:rFonts w:ascii="宋体" w:hAnsi="宋体" w:hint="eastAsia"/>
                <w:sz w:val="24"/>
                <w:szCs w:val="24"/>
              </w:rPr>
              <w:t>。</w:t>
            </w:r>
            <w:r w:rsidRPr="00C76C57">
              <w:rPr>
                <w:rFonts w:ascii="宋体" w:hAnsi="宋体" w:hint="eastAsia"/>
                <w:b/>
                <w:sz w:val="24"/>
                <w:szCs w:val="24"/>
              </w:rPr>
              <w:t>工作单位：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深圳大学</w:t>
            </w:r>
            <w:r w:rsidR="00C76C57">
              <w:rPr>
                <w:rFonts w:ascii="宋体" w:hAnsi="宋体" w:hint="eastAsia"/>
                <w:sz w:val="24"/>
                <w:szCs w:val="24"/>
              </w:rPr>
              <w:t>。</w:t>
            </w:r>
            <w:r w:rsidR="00C76C57" w:rsidRPr="00C76C57"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  <w:r w:rsidRPr="00C76C57">
              <w:rPr>
                <w:rFonts w:ascii="宋体" w:hAnsi="宋体" w:hint="eastAsia"/>
                <w:b/>
                <w:sz w:val="24"/>
                <w:szCs w:val="24"/>
              </w:rPr>
              <w:t>完成单位：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中国科学院长春光学精密机械与物理研究所</w:t>
            </w:r>
            <w:r w:rsidR="00C76C57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C76C57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主要学术贡献：</w:t>
            </w:r>
            <w:r w:rsidRPr="00841FB7">
              <w:rPr>
                <w:rFonts w:ascii="宋体" w:hAnsi="宋体" w:hint="eastAsia"/>
                <w:sz w:val="24"/>
                <w:szCs w:val="24"/>
              </w:rPr>
              <w:t>对科学发现</w:t>
            </w:r>
            <w:r w:rsidRPr="00841FB7">
              <w:rPr>
                <w:rFonts w:ascii="宋体" w:hAnsi="宋体"/>
                <w:sz w:val="24"/>
                <w:szCs w:val="24"/>
              </w:rPr>
              <w:t>1做出了创造性贡献。实验上首次在蓝宝石衬底上实现了</w:t>
            </w:r>
            <w:proofErr w:type="spellStart"/>
            <w:r w:rsidRPr="00841FB7">
              <w:rPr>
                <w:rFonts w:ascii="宋体" w:hAnsi="宋体"/>
                <w:sz w:val="24"/>
                <w:szCs w:val="24"/>
              </w:rPr>
              <w:t>ZnO</w:t>
            </w:r>
            <w:proofErr w:type="spellEnd"/>
            <w:proofErr w:type="gramStart"/>
            <w:r w:rsidRPr="00841FB7">
              <w:rPr>
                <w:rFonts w:ascii="宋体" w:hAnsi="宋体"/>
                <w:sz w:val="24"/>
                <w:szCs w:val="24"/>
              </w:rPr>
              <w:t>基紫外</w:t>
            </w:r>
            <w:proofErr w:type="gramEnd"/>
            <w:r w:rsidRPr="00841FB7">
              <w:rPr>
                <w:rFonts w:ascii="宋体" w:hAnsi="宋体"/>
                <w:sz w:val="24"/>
                <w:szCs w:val="24"/>
              </w:rPr>
              <w:t>发光二极管。是代表性论文5、6的通讯作者，代表性论文3、8的作者。</w:t>
            </w:r>
            <w:r w:rsidR="003A1E4F" w:rsidRPr="00841FB7">
              <w:rPr>
                <w:rFonts w:ascii="Times New Roman" w:hAnsi="Times New Roman" w:hint="eastAsia"/>
                <w:b/>
                <w:sz w:val="24"/>
                <w:szCs w:val="24"/>
              </w:rPr>
              <w:t>曾获国家科技奖励情况：</w:t>
            </w:r>
            <w:r w:rsidR="003A1E4F">
              <w:rPr>
                <w:rFonts w:ascii="Times New Roman" w:hAnsi="Times New Roman" w:hint="eastAsia"/>
                <w:sz w:val="24"/>
                <w:szCs w:val="24"/>
              </w:rPr>
              <w:t>无。</w:t>
            </w:r>
          </w:p>
          <w:p w:rsidR="001D25CC" w:rsidRPr="00841FB7" w:rsidRDefault="001D25CC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25CC" w:rsidRDefault="00DE6967">
            <w:pPr>
              <w:spacing w:line="3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D25CC" w:rsidRDefault="001D25CC">
            <w:pPr>
              <w:snapToGrid w:val="0"/>
              <w:ind w:left="360"/>
            </w:pPr>
          </w:p>
        </w:tc>
      </w:tr>
      <w:tr w:rsidR="001D25CC">
        <w:trPr>
          <w:trHeight w:val="14289"/>
          <w:jc w:val="center"/>
        </w:trPr>
        <w:tc>
          <w:tcPr>
            <w:tcW w:w="672" w:type="dxa"/>
            <w:vAlign w:val="center"/>
          </w:tcPr>
          <w:p w:rsidR="001D25CC" w:rsidRDefault="00DE6967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合作人关系说明</w:t>
            </w:r>
          </w:p>
        </w:tc>
        <w:tc>
          <w:tcPr>
            <w:tcW w:w="9780" w:type="dxa"/>
            <w:vAlign w:val="center"/>
          </w:tcPr>
          <w:p w:rsidR="003F12C2" w:rsidRDefault="003F12C2" w:rsidP="003F12C2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F12C2">
              <w:rPr>
                <w:rFonts w:ascii="宋体" w:hAnsi="宋体" w:hint="eastAsia"/>
                <w:sz w:val="24"/>
                <w:szCs w:val="24"/>
              </w:rPr>
              <w:t>本项目成果第一完成人申德振</w:t>
            </w:r>
            <w:r w:rsidR="00C76C57">
              <w:rPr>
                <w:rFonts w:ascii="宋体" w:hAnsi="宋体" w:hint="eastAsia"/>
                <w:sz w:val="24"/>
                <w:szCs w:val="24"/>
              </w:rPr>
              <w:t>研究员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是中国科学院长春光学精密机械与物理研究所“宽禁带氧化物半导体材料及其光电器件研究团队”的学术带头人，近二十年来，先后主持完成本项成果依托的国家863/973计划项目（项目首席科学家），国家自然科学基金重点项目等系列科研项目。刘雷、单崇新、刘可为、吕有明分别于2010年、2008年、2003年和2000年加入申德振研究员的团队，作为骨干研究人员，从事宽禁带氧化物半导体材料及其光电器件的相关研究，其中单崇新和吕有明由于工作调动原因分别于2018年和2007年离开团队。5位完成人于2001至2014年期间共同参与完成了国家863/973计划项目、国家自然科学基金重点项目等项目多项，相关工作获吉林省</w:t>
            </w:r>
            <w:r>
              <w:rPr>
                <w:rFonts w:ascii="宋体" w:hAnsi="宋体" w:hint="eastAsia"/>
                <w:sz w:val="24"/>
                <w:szCs w:val="24"/>
              </w:rPr>
              <w:t>科学技术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一等奖</w:t>
            </w:r>
            <w:r>
              <w:rPr>
                <w:rFonts w:ascii="宋体" w:hAnsi="宋体" w:hint="eastAsia"/>
                <w:sz w:val="24"/>
                <w:szCs w:val="24"/>
              </w:rPr>
              <w:t>4项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3F12C2" w:rsidRPr="003F12C2" w:rsidRDefault="003F12C2" w:rsidP="003F12C2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完成人</w:t>
            </w:r>
            <w:r w:rsidRPr="003F12C2">
              <w:rPr>
                <w:rFonts w:ascii="宋体" w:hAnsi="宋体" w:hint="eastAsia"/>
                <w:sz w:val="24"/>
                <w:szCs w:val="24"/>
              </w:rPr>
              <w:t>之间有多篇共同署名论文发表，详细见下表：</w:t>
            </w:r>
          </w:p>
          <w:tbl>
            <w:tblPr>
              <w:tblW w:w="95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276"/>
              <w:gridCol w:w="1559"/>
              <w:gridCol w:w="1276"/>
              <w:gridCol w:w="2218"/>
              <w:gridCol w:w="1276"/>
              <w:gridCol w:w="1134"/>
            </w:tblGrid>
            <w:tr w:rsidR="003F12C2" w:rsidRPr="00532DFB" w:rsidTr="003F12C2">
              <w:tc>
                <w:tcPr>
                  <w:tcW w:w="817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276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合作方式</w:t>
                  </w:r>
                </w:p>
              </w:tc>
              <w:tc>
                <w:tcPr>
                  <w:tcW w:w="1559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合作者</w:t>
                  </w:r>
                </w:p>
              </w:tc>
              <w:tc>
                <w:tcPr>
                  <w:tcW w:w="1276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合作时间</w:t>
                  </w:r>
                </w:p>
              </w:tc>
              <w:tc>
                <w:tcPr>
                  <w:tcW w:w="2218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合作成果</w:t>
                  </w:r>
                </w:p>
              </w:tc>
              <w:tc>
                <w:tcPr>
                  <w:tcW w:w="1276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证明材料</w:t>
                  </w:r>
                </w:p>
              </w:tc>
              <w:tc>
                <w:tcPr>
                  <w:tcW w:w="1134" w:type="dxa"/>
                  <w:vAlign w:val="center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532DF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备注</w:t>
                  </w:r>
                </w:p>
              </w:tc>
            </w:tr>
            <w:tr w:rsidR="003F12C2" w:rsidRPr="00532DFB" w:rsidTr="003F12C2">
              <w:tc>
                <w:tcPr>
                  <w:tcW w:w="817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 w:hint="eastAsia"/>
                      <w:sz w:val="24"/>
                      <w:szCs w:val="24"/>
                    </w:rPr>
                    <w:t>共同发表文章</w:t>
                  </w:r>
                </w:p>
              </w:tc>
              <w:tc>
                <w:tcPr>
                  <w:tcW w:w="1559" w:type="dxa"/>
                </w:tcPr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申德振</w:t>
                  </w:r>
                  <w:r>
                    <w:rPr>
                      <w:rFonts w:hint="eastAsia"/>
                      <w:sz w:val="24"/>
                      <w:szCs w:val="24"/>
                    </w:rPr>
                    <w:t>/1</w:t>
                  </w:r>
                </w:p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刘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  <w:szCs w:val="24"/>
                    </w:rPr>
                    <w:t>雷</w:t>
                  </w:r>
                  <w:r>
                    <w:rPr>
                      <w:rFonts w:hint="eastAsia"/>
                      <w:sz w:val="24"/>
                      <w:szCs w:val="24"/>
                    </w:rPr>
                    <w:t>/2</w:t>
                  </w:r>
                </w:p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单崇新</w:t>
                  </w:r>
                  <w:r>
                    <w:rPr>
                      <w:rFonts w:hint="eastAsia"/>
                      <w:sz w:val="24"/>
                      <w:szCs w:val="24"/>
                    </w:rPr>
                    <w:t>/3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218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CB6054">
                    <w:rPr>
                      <w:rFonts w:hint="eastAsia"/>
                    </w:rPr>
                    <w:t xml:space="preserve">p-Type Conductivity in N-Doped </w:t>
                  </w:r>
                  <w:proofErr w:type="spellStart"/>
                  <w:r w:rsidRPr="00CB6054">
                    <w:rPr>
                      <w:rFonts w:hint="eastAsia"/>
                    </w:rPr>
                    <w:t>ZnO</w:t>
                  </w:r>
                  <w:proofErr w:type="spellEnd"/>
                  <w:r w:rsidRPr="00CB6054">
                    <w:rPr>
                      <w:rFonts w:hint="eastAsia"/>
                    </w:rPr>
                    <w:t xml:space="preserve">: The Role of the </w:t>
                  </w:r>
                  <w:proofErr w:type="spellStart"/>
                  <w:r w:rsidRPr="00CB6054">
                    <w:rPr>
                      <w:rFonts w:hint="eastAsia"/>
                    </w:rPr>
                    <w:t>N</w:t>
                  </w:r>
                  <w:r w:rsidRPr="00BC6DBC">
                    <w:rPr>
                      <w:rFonts w:hint="eastAsia"/>
                      <w:vertAlign w:val="subscript"/>
                    </w:rPr>
                    <w:t>Zn</w:t>
                  </w:r>
                  <w:proofErr w:type="spellEnd"/>
                  <w:r w:rsidRPr="00CB6054">
                    <w:rPr>
                      <w:rFonts w:hint="eastAsia"/>
                    </w:rPr>
                    <w:t>-V</w:t>
                  </w:r>
                  <w:r w:rsidRPr="00BC6DBC">
                    <w:rPr>
                      <w:rFonts w:hint="eastAsia"/>
                      <w:vertAlign w:val="subscript"/>
                    </w:rPr>
                    <w:t>O</w:t>
                  </w:r>
                  <w:r w:rsidRPr="00CB6054">
                    <w:rPr>
                      <w:rFonts w:hint="eastAsia"/>
                    </w:rPr>
                    <w:t xml:space="preserve"> Complex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代表性论文</w:t>
                  </w: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SCI</w:t>
                  </w:r>
                  <w:r>
                    <w:rPr>
                      <w:rFonts w:hint="eastAsia"/>
                      <w:sz w:val="24"/>
                      <w:szCs w:val="24"/>
                    </w:rPr>
                    <w:t>论文</w:t>
                  </w:r>
                </w:p>
              </w:tc>
            </w:tr>
            <w:tr w:rsidR="003F12C2" w:rsidRPr="00532DFB" w:rsidTr="003F12C2">
              <w:tc>
                <w:tcPr>
                  <w:tcW w:w="817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 w:hint="eastAsia"/>
                      <w:sz w:val="24"/>
                      <w:szCs w:val="24"/>
                    </w:rPr>
                    <w:t>共同发表文章</w:t>
                  </w:r>
                </w:p>
              </w:tc>
              <w:tc>
                <w:tcPr>
                  <w:tcW w:w="1559" w:type="dxa"/>
                </w:tcPr>
                <w:p w:rsidR="003F12C2" w:rsidRPr="00BC6DBC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申德振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/1</w:t>
                  </w:r>
                </w:p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单崇新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/3</w:t>
                  </w:r>
                </w:p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吕有明</w:t>
                  </w:r>
                  <w:r>
                    <w:rPr>
                      <w:rFonts w:hint="eastAsia"/>
                      <w:sz w:val="24"/>
                      <w:szCs w:val="24"/>
                    </w:rPr>
                    <w:t>/5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2009</w:t>
                  </w:r>
                </w:p>
              </w:tc>
              <w:tc>
                <w:tcPr>
                  <w:tcW w:w="2218" w:type="dxa"/>
                </w:tcPr>
                <w:p w:rsidR="003F12C2" w:rsidRPr="00BC6DBC" w:rsidRDefault="003F12C2" w:rsidP="00DE4331">
                  <w:pPr>
                    <w:autoSpaceDE w:val="0"/>
                    <w:autoSpaceDN w:val="0"/>
                    <w:adjustRightInd w:val="0"/>
                    <w:jc w:val="left"/>
                    <w:rPr>
                      <w:rFonts w:eastAsia="AdobeSongStd-Light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AdobeSongStd-Light"/>
                      <w:color w:val="000000"/>
                      <w:kern w:val="0"/>
                      <w:szCs w:val="21"/>
                    </w:rPr>
                    <w:t>Ultralow-Threshold</w:t>
                  </w:r>
                  <w:r>
                    <w:rPr>
                      <w:rFonts w:eastAsia="AdobeSongStd-Light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D16EDE">
                    <w:rPr>
                      <w:rFonts w:eastAsia="AdobeSongStd-Light"/>
                      <w:color w:val="000000"/>
                      <w:kern w:val="0"/>
                      <w:szCs w:val="21"/>
                    </w:rPr>
                    <w:t>Laser Re</w:t>
                  </w:r>
                  <w:r>
                    <w:rPr>
                      <w:rFonts w:eastAsia="AdobeSongStd-Light"/>
                      <w:color w:val="000000"/>
                      <w:kern w:val="0"/>
                      <w:szCs w:val="21"/>
                    </w:rPr>
                    <w:t>alized in Zinc Oxide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代表性论文</w:t>
                  </w: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SCI</w:t>
                  </w:r>
                  <w:r>
                    <w:rPr>
                      <w:rFonts w:hint="eastAsia"/>
                      <w:sz w:val="24"/>
                      <w:szCs w:val="24"/>
                    </w:rPr>
                    <w:t>论文</w:t>
                  </w:r>
                </w:p>
              </w:tc>
            </w:tr>
            <w:tr w:rsidR="003F12C2" w:rsidRPr="00532DFB" w:rsidTr="003F12C2">
              <w:tc>
                <w:tcPr>
                  <w:tcW w:w="817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 w:hint="eastAsia"/>
                      <w:sz w:val="24"/>
                      <w:szCs w:val="24"/>
                    </w:rPr>
                    <w:t>共同发表文章</w:t>
                  </w:r>
                </w:p>
              </w:tc>
              <w:tc>
                <w:tcPr>
                  <w:tcW w:w="1559" w:type="dxa"/>
                </w:tcPr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申德振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/1</w:t>
                  </w:r>
                </w:p>
                <w:p w:rsidR="003F12C2" w:rsidRPr="00BC6DBC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单崇新</w:t>
                  </w:r>
                  <w:r>
                    <w:rPr>
                      <w:rFonts w:hint="eastAsia"/>
                      <w:sz w:val="24"/>
                      <w:szCs w:val="24"/>
                    </w:rPr>
                    <w:t>/2</w:t>
                  </w:r>
                </w:p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刘</w:t>
                  </w:r>
                  <w:r>
                    <w:rPr>
                      <w:rFonts w:hint="eastAsia"/>
                      <w:sz w:val="24"/>
                      <w:szCs w:val="24"/>
                    </w:rPr>
                    <w:t>可为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218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t xml:space="preserve">High-performance solar-blind ultraviolet photodetector based on mixed-phase </w:t>
                  </w:r>
                  <w:proofErr w:type="spellStart"/>
                  <w:r>
                    <w:t>ZnMgO</w:t>
                  </w:r>
                  <w:proofErr w:type="spellEnd"/>
                  <w:r>
                    <w:t xml:space="preserve"> thin film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代表性论文</w:t>
                  </w:r>
                  <w:r>
                    <w:rPr>
                      <w:rFonts w:hint="eastAs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SCI</w:t>
                  </w:r>
                  <w:r>
                    <w:rPr>
                      <w:rFonts w:hint="eastAsia"/>
                      <w:sz w:val="24"/>
                      <w:szCs w:val="24"/>
                    </w:rPr>
                    <w:t>论文</w:t>
                  </w:r>
                </w:p>
              </w:tc>
            </w:tr>
            <w:tr w:rsidR="003F12C2" w:rsidRPr="00532DFB" w:rsidTr="003F12C2">
              <w:tc>
                <w:tcPr>
                  <w:tcW w:w="817" w:type="dxa"/>
                </w:tcPr>
                <w:p w:rsidR="003F12C2" w:rsidRPr="00532DFB" w:rsidRDefault="003F12C2" w:rsidP="003F12C2">
                  <w:pPr>
                    <w:spacing w:beforeLines="50" w:before="156" w:afterLines="50" w:after="156"/>
                    <w:rPr>
                      <w:color w:val="000000" w:themeColor="text1"/>
                      <w:sz w:val="24"/>
                      <w:szCs w:val="24"/>
                    </w:rPr>
                  </w:pPr>
                  <w:r w:rsidRPr="00D30A06">
                    <w:rPr>
                      <w:rFonts w:ascii="宋体" w:hAnsi="宋体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3F12C2" w:rsidRPr="004016F0" w:rsidRDefault="003F12C2" w:rsidP="003F12C2">
                  <w:pPr>
                    <w:spacing w:beforeLines="50" w:before="156" w:afterLines="50" w:after="156"/>
                    <w:rPr>
                      <w:rFonts w:ascii="宋体" w:hAnsi="宋体"/>
                      <w:sz w:val="24"/>
                      <w:szCs w:val="24"/>
                    </w:rPr>
                  </w:pPr>
                  <w:r w:rsidRPr="004016F0">
                    <w:rPr>
                      <w:rFonts w:ascii="宋体" w:hAnsi="宋体" w:hint="eastAsia"/>
                      <w:sz w:val="24"/>
                      <w:szCs w:val="24"/>
                    </w:rPr>
                    <w:t>共同发表文章</w:t>
                  </w:r>
                </w:p>
              </w:tc>
              <w:tc>
                <w:tcPr>
                  <w:tcW w:w="1559" w:type="dxa"/>
                </w:tcPr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申德振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/1</w:t>
                  </w:r>
                </w:p>
                <w:p w:rsidR="003F12C2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BC6DBC">
                    <w:rPr>
                      <w:rFonts w:hint="eastAsia"/>
                      <w:sz w:val="24"/>
                      <w:szCs w:val="24"/>
                    </w:rPr>
                    <w:t>刘</w:t>
                  </w:r>
                  <w:r>
                    <w:rPr>
                      <w:rFonts w:hint="eastAsia"/>
                      <w:sz w:val="24"/>
                      <w:szCs w:val="24"/>
                    </w:rPr>
                    <w:t>可为</w:t>
                  </w:r>
                  <w:r w:rsidRPr="00BC6DBC">
                    <w:rPr>
                      <w:rFonts w:hint="eastAsia"/>
                      <w:sz w:val="24"/>
                      <w:szCs w:val="24"/>
                    </w:rPr>
                    <w:t>/</w:t>
                  </w: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D30A06">
                    <w:rPr>
                      <w:rFonts w:hint="eastAsia"/>
                      <w:sz w:val="24"/>
                      <w:szCs w:val="24"/>
                    </w:rPr>
                    <w:t>吕有明</w:t>
                  </w:r>
                  <w:r w:rsidRPr="00D30A06">
                    <w:rPr>
                      <w:rFonts w:hint="eastAsia"/>
                      <w:sz w:val="24"/>
                      <w:szCs w:val="24"/>
                    </w:rPr>
                    <w:t>/5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2218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 w:rsidRPr="00D30A06">
                    <w:t xml:space="preserve">Ultraviolet Photoconductive Detector With High Visible Rejection And Fast </w:t>
                  </w:r>
                  <w:proofErr w:type="spellStart"/>
                  <w:r w:rsidRPr="00D30A06">
                    <w:t>Photor</w:t>
                  </w:r>
                  <w:r>
                    <w:t>esponse</w:t>
                  </w:r>
                  <w:proofErr w:type="spellEnd"/>
                  <w:r>
                    <w:t xml:space="preserve"> Based on </w:t>
                  </w:r>
                  <w:proofErr w:type="spellStart"/>
                  <w:r>
                    <w:t>ZnO</w:t>
                  </w:r>
                  <w:proofErr w:type="spellEnd"/>
                  <w:r>
                    <w:t xml:space="preserve"> Thin Film</w:t>
                  </w:r>
                </w:p>
              </w:tc>
              <w:tc>
                <w:tcPr>
                  <w:tcW w:w="1276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代表性论文</w:t>
                  </w:r>
                  <w:r>
                    <w:rPr>
                      <w:rFonts w:hint="eastAs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3F12C2" w:rsidRPr="00C20DDE" w:rsidRDefault="003F12C2" w:rsidP="003F12C2">
                  <w:pPr>
                    <w:spacing w:beforeLines="50" w:before="156" w:afterLines="50" w:after="156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SCI</w:t>
                  </w:r>
                  <w:r>
                    <w:rPr>
                      <w:rFonts w:hint="eastAsia"/>
                      <w:sz w:val="24"/>
                      <w:szCs w:val="24"/>
                    </w:rPr>
                    <w:t>论文</w:t>
                  </w:r>
                </w:p>
              </w:tc>
            </w:tr>
          </w:tbl>
          <w:p w:rsidR="001D25CC" w:rsidRPr="003F12C2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25CC" w:rsidRDefault="001D25C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</w:p>
        </w:tc>
      </w:tr>
    </w:tbl>
    <w:p w:rsidR="001D25CC" w:rsidRDefault="001D25CC">
      <w:pPr>
        <w:spacing w:line="360" w:lineRule="auto"/>
      </w:pPr>
    </w:p>
    <w:sectPr w:rsidR="001D25C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DC" w:rsidRDefault="009E1ADC">
      <w:r>
        <w:separator/>
      </w:r>
    </w:p>
  </w:endnote>
  <w:endnote w:type="continuationSeparator" w:id="0">
    <w:p w:rsidR="009E1ADC" w:rsidRDefault="009E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5CC" w:rsidRDefault="00DE6967">
    <w:pPr>
      <w:pStyle w:val="a4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 w:rsidR="00EE43F2">
      <w:rPr>
        <w:noProof/>
        <w:lang w:val="zh-CN"/>
      </w:rPr>
      <w:t>1</w:t>
    </w:r>
    <w:r>
      <w:rPr>
        <w:lang w:val="zh-CN"/>
      </w:rPr>
      <w:fldChar w:fldCharType="end"/>
    </w:r>
  </w:p>
  <w:p w:rsidR="001D25CC" w:rsidRDefault="001D25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DC" w:rsidRDefault="009E1ADC">
      <w:r>
        <w:separator/>
      </w:r>
    </w:p>
  </w:footnote>
  <w:footnote w:type="continuationSeparator" w:id="0">
    <w:p w:rsidR="009E1ADC" w:rsidRDefault="009E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502F"/>
    <w:multiLevelType w:val="hybridMultilevel"/>
    <w:tmpl w:val="CD7823E4"/>
    <w:lvl w:ilvl="0" w:tplc="CC9E48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7B0C3D07"/>
    <w:multiLevelType w:val="hybridMultilevel"/>
    <w:tmpl w:val="5ED6D0C0"/>
    <w:lvl w:ilvl="0" w:tplc="F74E2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48"/>
    <w:rsid w:val="00020A3E"/>
    <w:rsid w:val="00054CBD"/>
    <w:rsid w:val="000704B8"/>
    <w:rsid w:val="00077B6A"/>
    <w:rsid w:val="0008108B"/>
    <w:rsid w:val="000F3CE5"/>
    <w:rsid w:val="00115DEE"/>
    <w:rsid w:val="00122FFE"/>
    <w:rsid w:val="00154DD2"/>
    <w:rsid w:val="001937CD"/>
    <w:rsid w:val="00193CA4"/>
    <w:rsid w:val="001A07DC"/>
    <w:rsid w:val="001B4DAD"/>
    <w:rsid w:val="001D25CC"/>
    <w:rsid w:val="001E370D"/>
    <w:rsid w:val="001E78B4"/>
    <w:rsid w:val="001F607B"/>
    <w:rsid w:val="00203083"/>
    <w:rsid w:val="00230487"/>
    <w:rsid w:val="00255E64"/>
    <w:rsid w:val="002776A0"/>
    <w:rsid w:val="00284D63"/>
    <w:rsid w:val="002A3873"/>
    <w:rsid w:val="002B1553"/>
    <w:rsid w:val="002E0AAD"/>
    <w:rsid w:val="0031309F"/>
    <w:rsid w:val="003471D6"/>
    <w:rsid w:val="00383D6E"/>
    <w:rsid w:val="0039467F"/>
    <w:rsid w:val="003A1E4F"/>
    <w:rsid w:val="003E17F2"/>
    <w:rsid w:val="003E6906"/>
    <w:rsid w:val="003F12C2"/>
    <w:rsid w:val="0046388E"/>
    <w:rsid w:val="00474AD0"/>
    <w:rsid w:val="004A1F27"/>
    <w:rsid w:val="004B32D5"/>
    <w:rsid w:val="004E21A6"/>
    <w:rsid w:val="004E5137"/>
    <w:rsid w:val="005138C6"/>
    <w:rsid w:val="00524A65"/>
    <w:rsid w:val="00545DF7"/>
    <w:rsid w:val="0055521B"/>
    <w:rsid w:val="00574EC7"/>
    <w:rsid w:val="00575A58"/>
    <w:rsid w:val="00592CDE"/>
    <w:rsid w:val="005A5D87"/>
    <w:rsid w:val="00611AAF"/>
    <w:rsid w:val="00614519"/>
    <w:rsid w:val="00627CFA"/>
    <w:rsid w:val="00634B14"/>
    <w:rsid w:val="006B6020"/>
    <w:rsid w:val="006E7562"/>
    <w:rsid w:val="006F2CA9"/>
    <w:rsid w:val="00763EC6"/>
    <w:rsid w:val="00786663"/>
    <w:rsid w:val="0078715D"/>
    <w:rsid w:val="007D07DF"/>
    <w:rsid w:val="007D6BED"/>
    <w:rsid w:val="00801ABA"/>
    <w:rsid w:val="00841FB7"/>
    <w:rsid w:val="00842E1C"/>
    <w:rsid w:val="008737F9"/>
    <w:rsid w:val="008D7DF7"/>
    <w:rsid w:val="008E5CEE"/>
    <w:rsid w:val="008F6729"/>
    <w:rsid w:val="00902CCC"/>
    <w:rsid w:val="00904ACB"/>
    <w:rsid w:val="00926FB9"/>
    <w:rsid w:val="009661C6"/>
    <w:rsid w:val="00971997"/>
    <w:rsid w:val="009A243E"/>
    <w:rsid w:val="009E1ADC"/>
    <w:rsid w:val="009F05DF"/>
    <w:rsid w:val="00A04C27"/>
    <w:rsid w:val="00A07DA4"/>
    <w:rsid w:val="00A26CA8"/>
    <w:rsid w:val="00A459B2"/>
    <w:rsid w:val="00A505DC"/>
    <w:rsid w:val="00A60601"/>
    <w:rsid w:val="00A734C9"/>
    <w:rsid w:val="00A97800"/>
    <w:rsid w:val="00AA5967"/>
    <w:rsid w:val="00AB4B73"/>
    <w:rsid w:val="00AF6860"/>
    <w:rsid w:val="00B11555"/>
    <w:rsid w:val="00B30F5B"/>
    <w:rsid w:val="00B5009A"/>
    <w:rsid w:val="00B53948"/>
    <w:rsid w:val="00B551CB"/>
    <w:rsid w:val="00BB390C"/>
    <w:rsid w:val="00BB537A"/>
    <w:rsid w:val="00BD06EB"/>
    <w:rsid w:val="00BF00F9"/>
    <w:rsid w:val="00C60DA6"/>
    <w:rsid w:val="00C63365"/>
    <w:rsid w:val="00C674BC"/>
    <w:rsid w:val="00C76C57"/>
    <w:rsid w:val="00C93E6A"/>
    <w:rsid w:val="00D523CB"/>
    <w:rsid w:val="00D570CF"/>
    <w:rsid w:val="00D808B7"/>
    <w:rsid w:val="00D85092"/>
    <w:rsid w:val="00DB2B68"/>
    <w:rsid w:val="00DE450B"/>
    <w:rsid w:val="00DE6967"/>
    <w:rsid w:val="00DF56DF"/>
    <w:rsid w:val="00E07BEE"/>
    <w:rsid w:val="00E16D6A"/>
    <w:rsid w:val="00E209B3"/>
    <w:rsid w:val="00E26469"/>
    <w:rsid w:val="00EA1FD6"/>
    <w:rsid w:val="00EC24AE"/>
    <w:rsid w:val="00EE43F2"/>
    <w:rsid w:val="00F35AB2"/>
    <w:rsid w:val="00F60CEE"/>
    <w:rsid w:val="00FD013A"/>
    <w:rsid w:val="00FD3FB4"/>
    <w:rsid w:val="00FF09D8"/>
    <w:rsid w:val="112D52CD"/>
    <w:rsid w:val="11687CAE"/>
    <w:rsid w:val="12312D0D"/>
    <w:rsid w:val="12594FCA"/>
    <w:rsid w:val="208E1BC9"/>
    <w:rsid w:val="2E8C5EF5"/>
    <w:rsid w:val="4580716E"/>
    <w:rsid w:val="5AE834D8"/>
    <w:rsid w:val="6C59019B"/>
    <w:rsid w:val="70E02392"/>
    <w:rsid w:val="77CB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hAnsi="Times New Roman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Char">
    <w:name w:val="纯文本 Char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hAnsi="Times New Roman"/>
      <w:kern w:val="0"/>
      <w:sz w:val="24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pPr>
      <w:ind w:firstLineChars="200" w:firstLine="420"/>
    </w:pPr>
  </w:style>
  <w:style w:type="character" w:customStyle="1" w:styleId="Char">
    <w:name w:val="纯文本 Char"/>
    <w:link w:val="a3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4855</Characters>
  <Application>Microsoft Office Word</Application>
  <DocSecurity>0</DocSecurity>
  <Lines>40</Lines>
  <Paragraphs>11</Paragraphs>
  <ScaleCrop>false</ScaleCrop>
  <Company>微软中国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张欢欢</cp:lastModifiedBy>
  <cp:revision>2</cp:revision>
  <dcterms:created xsi:type="dcterms:W3CDTF">2020-01-02T07:27:00Z</dcterms:created>
  <dcterms:modified xsi:type="dcterms:W3CDTF">2020-01-02T07:27:00Z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